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1B07D">
      <w:pPr>
        <w:spacing w:line="360" w:lineRule="auto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温州医科大学附属第二医院</w:t>
      </w:r>
    </w:p>
    <w:p w14:paraId="58BD90E4">
      <w:pPr>
        <w:spacing w:line="360" w:lineRule="auto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医院自行采购报价须知与技术规格要求</w:t>
      </w:r>
    </w:p>
    <w:p w14:paraId="420D1FDC">
      <w:pPr>
        <w:spacing w:before="156" w:beforeLines="50"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</w:t>
      </w:r>
      <w:r>
        <w:rPr>
          <w:b/>
          <w:bCs/>
          <w:sz w:val="30"/>
          <w:szCs w:val="30"/>
        </w:rPr>
        <w:t>报价</w:t>
      </w:r>
      <w:r>
        <w:rPr>
          <w:rFonts w:hint="eastAsia"/>
          <w:b/>
          <w:bCs/>
          <w:sz w:val="30"/>
          <w:szCs w:val="30"/>
          <w:lang w:eastAsia="zh-CN"/>
        </w:rPr>
        <w:t>须知</w:t>
      </w:r>
      <w:r>
        <w:rPr>
          <w:rFonts w:hint="eastAsia"/>
          <w:b/>
          <w:bCs/>
          <w:sz w:val="30"/>
          <w:szCs w:val="30"/>
        </w:rPr>
        <w:t>：</w:t>
      </w:r>
    </w:p>
    <w:p w14:paraId="750C062D">
      <w:pPr>
        <w:pStyle w:val="10"/>
        <w:numPr>
          <w:ilvl w:val="-1"/>
          <w:numId w:val="0"/>
        </w:numPr>
        <w:spacing w:line="360" w:lineRule="auto"/>
        <w:ind w:left="0" w:firstLine="0" w:firstLineChars="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需于截止日期前递交报价资料至</w:t>
      </w:r>
      <w:r>
        <w:rPr>
          <w:rFonts w:hint="eastAsia"/>
          <w:b/>
          <w:bCs/>
          <w:sz w:val="24"/>
          <w:szCs w:val="32"/>
          <w:lang w:val="en-US" w:eastAsia="zh-CN"/>
        </w:rPr>
        <w:t>后勤保障部</w:t>
      </w:r>
      <w:r>
        <w:rPr>
          <w:rFonts w:hint="eastAsia"/>
          <w:b/>
          <w:bCs/>
          <w:sz w:val="24"/>
          <w:szCs w:val="32"/>
        </w:rPr>
        <w:t>，所有资料均需加盖企业</w:t>
      </w:r>
      <w:r>
        <w:rPr>
          <w:rFonts w:hint="eastAsia"/>
          <w:b/>
          <w:bCs/>
          <w:sz w:val="24"/>
          <w:szCs w:val="32"/>
          <w:lang w:eastAsia="zh-CN"/>
        </w:rPr>
        <w:t>公章</w:t>
      </w:r>
      <w:r>
        <w:rPr>
          <w:rFonts w:hint="eastAsia"/>
          <w:b/>
          <w:bCs/>
          <w:sz w:val="24"/>
          <w:szCs w:val="32"/>
        </w:rPr>
        <w:t>，包括但不仅限于以下资料：</w:t>
      </w:r>
    </w:p>
    <w:p w14:paraId="73805BF4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1.</w:t>
      </w:r>
      <w:r>
        <w:rPr>
          <w:rFonts w:hint="eastAsia" w:ascii="宋体" w:hAnsi="宋体"/>
          <w:b/>
          <w:bCs/>
          <w:sz w:val="24"/>
          <w:lang w:val="en-US" w:eastAsia="zh-CN"/>
        </w:rPr>
        <w:t>投标资料1</w:t>
      </w:r>
      <w:r>
        <w:rPr>
          <w:rFonts w:hint="eastAsia" w:ascii="宋体" w:hAnsi="宋体"/>
          <w:b/>
          <w:bCs/>
          <w:sz w:val="24"/>
        </w:rPr>
        <w:t>份（</w:t>
      </w:r>
      <w:r>
        <w:rPr>
          <w:rFonts w:hint="eastAsia"/>
          <w:b/>
          <w:bCs/>
          <w:sz w:val="24"/>
          <w:szCs w:val="32"/>
        </w:rPr>
        <w:t>密封加盖单位公章</w:t>
      </w:r>
      <w:r>
        <w:rPr>
          <w:rFonts w:hint="eastAsia" w:ascii="宋体" w:hAnsi="宋体"/>
          <w:b/>
          <w:bCs/>
          <w:sz w:val="24"/>
        </w:rPr>
        <w:t>）</w:t>
      </w:r>
      <w:r>
        <w:rPr>
          <w:rFonts w:hint="eastAsia" w:ascii="宋体" w:hAnsi="宋体"/>
          <w:b/>
          <w:bCs/>
          <w:sz w:val="24"/>
          <w:lang w:val="en-US" w:eastAsia="zh-CN"/>
        </w:rPr>
        <w:t>含以下内容</w:t>
      </w:r>
      <w:r>
        <w:rPr>
          <w:rFonts w:hint="eastAsia" w:ascii="宋体" w:hAnsi="宋体"/>
          <w:b/>
          <w:bCs/>
          <w:sz w:val="24"/>
        </w:rPr>
        <w:t>：</w:t>
      </w:r>
    </w:p>
    <w:p w14:paraId="17AD6B6C"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供应商营业执照</w:t>
      </w:r>
      <w:r>
        <w:rPr>
          <w:rFonts w:hint="eastAsia" w:ascii="宋体" w:hAnsi="宋体"/>
          <w:bCs/>
          <w:sz w:val="24"/>
          <w:highlight w:val="none"/>
          <w:lang w:eastAsia="zh-CN"/>
        </w:rPr>
        <w:t>。</w:t>
      </w:r>
    </w:p>
    <w:p w14:paraId="0C19A1CD"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宋体" w:hAnsi="宋体" w:cs="Times New Roman"/>
          <w:bCs/>
          <w:sz w:val="24"/>
          <w:highlight w:val="none"/>
        </w:rPr>
      </w:pPr>
      <w:r>
        <w:rPr>
          <w:rFonts w:hint="eastAsia" w:ascii="宋体" w:hAnsi="宋体" w:cs="Times New Roman"/>
          <w:bCs/>
          <w:sz w:val="24"/>
          <w:highlight w:val="none"/>
          <w:lang w:val="en-US" w:eastAsia="zh-CN"/>
        </w:rPr>
        <w:t>法人身份证复印件。</w:t>
      </w:r>
    </w:p>
    <w:p w14:paraId="7E9EE82E"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宋体" w:hAnsi="宋体" w:cs="Times New Roman"/>
          <w:bCs/>
          <w:sz w:val="24"/>
          <w:highlight w:val="none"/>
          <w:lang w:val="en-US" w:eastAsia="zh-CN"/>
        </w:rPr>
      </w:pPr>
      <w:r>
        <w:rPr>
          <w:rFonts w:hint="eastAsia" w:ascii="宋体" w:hAnsi="宋体" w:cs="Times New Roman"/>
          <w:bCs/>
          <w:sz w:val="24"/>
          <w:highlight w:val="none"/>
          <w:lang w:val="en-US" w:eastAsia="zh-CN"/>
        </w:rPr>
        <w:t>经办人身份证复印件和法人授权委托书（若是经办人需提供）。</w:t>
      </w:r>
    </w:p>
    <w:p w14:paraId="18F9230D">
      <w:pPr>
        <w:pStyle w:val="10"/>
        <w:numPr>
          <w:ilvl w:val="0"/>
          <w:numId w:val="1"/>
        </w:numPr>
        <w:spacing w:line="360" w:lineRule="auto"/>
        <w:ind w:left="0" w:leftChars="0"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电梯</w:t>
      </w:r>
      <w:r>
        <w:rPr>
          <w:rFonts w:hint="eastAsia" w:ascii="宋体" w:hAnsi="宋体"/>
          <w:bCs/>
          <w:sz w:val="24"/>
          <w:lang w:val="en-US" w:eastAsia="zh-CN"/>
        </w:rPr>
        <w:t>检测</w:t>
      </w:r>
      <w:r>
        <w:rPr>
          <w:rFonts w:ascii="宋体" w:hAnsi="宋体"/>
          <w:bCs/>
          <w:sz w:val="24"/>
        </w:rPr>
        <w:t>资质</w:t>
      </w:r>
      <w:r>
        <w:rPr>
          <w:rFonts w:hint="eastAsia" w:ascii="宋体" w:hAnsi="宋体"/>
          <w:bCs/>
          <w:sz w:val="24"/>
          <w:lang w:eastAsia="zh-CN"/>
        </w:rPr>
        <w:t>。</w:t>
      </w:r>
    </w:p>
    <w:p w14:paraId="48059B5D">
      <w:pPr>
        <w:numPr>
          <w:ilvl w:val="0"/>
          <w:numId w:val="1"/>
        </w:numPr>
        <w:snapToGrid w:val="0"/>
        <w:spacing w:line="360" w:lineRule="auto"/>
        <w:ind w:left="0" w:leftChars="0"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报价单，本次报价</w:t>
      </w:r>
      <w:r>
        <w:rPr>
          <w:rFonts w:hint="eastAsia" w:ascii="宋体" w:hAnsi="宋体"/>
          <w:bCs/>
          <w:sz w:val="24"/>
        </w:rPr>
        <w:t>以综合单价投标。</w:t>
      </w:r>
    </w:p>
    <w:p w14:paraId="6CBE277A"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宋体" w:hAnsi="宋体"/>
          <w:bCs/>
          <w:sz w:val="24"/>
        </w:rPr>
      </w:pPr>
      <w:r>
        <w:rPr>
          <w:rFonts w:ascii="宋体" w:hAnsi="宋体"/>
          <w:bCs/>
          <w:sz w:val="24"/>
        </w:rPr>
        <w:t>投标人针对报价需要说明的其他文件和说明（如有）。</w:t>
      </w:r>
    </w:p>
    <w:p w14:paraId="1AAA79D0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宋体" w:hAnsi="宋体" w:eastAsia="宋体" w:cs="Times New Roman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24"/>
          <w:szCs w:val="24"/>
          <w:lang w:val="en-US" w:eastAsia="zh-CN" w:bidi="ar-SA"/>
        </w:rPr>
        <w:t>注1：以上要求的材料须盖公章，以纸质版的形式提交。</w:t>
      </w:r>
    </w:p>
    <w:p w14:paraId="1A04D9F6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24"/>
          <w:szCs w:val="24"/>
          <w:lang w:val="en-US" w:eastAsia="zh-CN" w:bidi="ar-SA"/>
        </w:rPr>
        <w:t>注2：投标文件的密封和标记：供应商应将投标文件包装密封，在投标文件封面备注项目名称、公司联系人及联系方式。</w:t>
      </w:r>
    </w:p>
    <w:p w14:paraId="741AEA76">
      <w:pPr>
        <w:numPr>
          <w:ilvl w:val="-1"/>
          <w:numId w:val="0"/>
        </w:numPr>
        <w:spacing w:before="156" w:beforeLines="50" w:line="360" w:lineRule="auto"/>
        <w:ind w:firstLine="0"/>
        <w:rPr>
          <w:rFonts w:hint="eastAsia" w:ascii="Calibri" w:hAnsi="Calibri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二、</w:t>
      </w:r>
      <w:r>
        <w:rPr>
          <w:rFonts w:hint="eastAsia" w:ascii="Calibri" w:hAnsi="Calibri"/>
          <w:b/>
          <w:bCs/>
          <w:sz w:val="30"/>
          <w:szCs w:val="30"/>
        </w:rPr>
        <w:t>评标办法：本项目中标一家，</w:t>
      </w:r>
      <w:r>
        <w:rPr>
          <w:rFonts w:hint="eastAsia" w:ascii="Calibri" w:hAnsi="Calibri"/>
          <w:b/>
          <w:bCs/>
          <w:sz w:val="30"/>
          <w:szCs w:val="30"/>
          <w:lang w:val="en-US" w:eastAsia="zh-CN"/>
        </w:rPr>
        <w:t>低价为</w:t>
      </w:r>
      <w:r>
        <w:rPr>
          <w:rFonts w:hint="eastAsia" w:ascii="Calibri" w:hAnsi="Calibri"/>
          <w:b/>
          <w:bCs/>
          <w:sz w:val="30"/>
          <w:szCs w:val="30"/>
        </w:rPr>
        <w:t>中标供应商。</w:t>
      </w:r>
    </w:p>
    <w:p w14:paraId="000B32C7">
      <w:pPr>
        <w:numPr>
          <w:ilvl w:val="0"/>
          <w:numId w:val="0"/>
        </w:numPr>
        <w:spacing w:line="360" w:lineRule="auto"/>
        <w:rPr>
          <w:rFonts w:hint="eastAsia" w:ascii="宋体" w:hAnsi="宋体"/>
          <w:bCs/>
          <w:sz w:val="24"/>
        </w:rPr>
      </w:pPr>
    </w:p>
    <w:p w14:paraId="175B6B49">
      <w:pPr>
        <w:numPr>
          <w:ilvl w:val="0"/>
          <w:numId w:val="0"/>
        </w:numPr>
        <w:snapToGrid w:val="0"/>
        <w:spacing w:line="360" w:lineRule="auto"/>
        <w:jc w:val="left"/>
        <w:rPr>
          <w:rFonts w:hint="eastAsia" w:eastAsia="宋体"/>
          <w:b/>
          <w:bCs/>
          <w:sz w:val="24"/>
          <w:highlight w:val="none"/>
          <w:lang w:eastAsia="zh-CN"/>
        </w:rPr>
      </w:pPr>
      <w:r>
        <w:rPr>
          <w:rFonts w:hint="eastAsia"/>
          <w:b/>
          <w:bCs/>
          <w:sz w:val="30"/>
          <w:szCs w:val="30"/>
          <w:highlight w:val="none"/>
          <w:lang w:val="en-US" w:eastAsia="zh-CN"/>
        </w:rPr>
        <w:t>三、</w:t>
      </w:r>
      <w:r>
        <w:rPr>
          <w:rFonts w:hint="eastAsia"/>
          <w:b/>
          <w:bCs/>
          <w:sz w:val="30"/>
          <w:szCs w:val="30"/>
          <w:highlight w:val="none"/>
        </w:rPr>
        <w:t>技术</w:t>
      </w:r>
      <w:r>
        <w:rPr>
          <w:rFonts w:hint="eastAsia"/>
          <w:b/>
          <w:bCs/>
          <w:sz w:val="32"/>
          <w:szCs w:val="32"/>
          <w:highlight w:val="none"/>
        </w:rPr>
        <w:t>规格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及</w:t>
      </w:r>
      <w:r>
        <w:rPr>
          <w:rFonts w:hint="eastAsia"/>
          <w:b/>
          <w:bCs/>
          <w:sz w:val="32"/>
          <w:szCs w:val="32"/>
          <w:highlight w:val="none"/>
        </w:rPr>
        <w:t>要求</w:t>
      </w:r>
      <w:r>
        <w:rPr>
          <w:rFonts w:hint="eastAsia"/>
          <w:b/>
          <w:bCs/>
          <w:sz w:val="32"/>
          <w:szCs w:val="32"/>
          <w:highlight w:val="none"/>
          <w:lang w:eastAsia="zh-CN"/>
        </w:rPr>
        <w:t>：</w:t>
      </w:r>
    </w:p>
    <w:p w14:paraId="75D966C5">
      <w:pPr>
        <w:numPr>
          <w:ilvl w:val="0"/>
          <w:numId w:val="2"/>
        </w:numPr>
        <w:snapToGrid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highlight w:val="none"/>
          <w:lang w:val="en-US" w:eastAsia="zh-CN"/>
        </w:rPr>
        <w:t>项目地址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：温州医科大学附属第二医院龙湾院区（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浙江省温州市龙湾区温州大道东段1111号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</w:p>
    <w:p w14:paraId="3F42A963">
      <w:pPr>
        <w:numPr>
          <w:ilvl w:val="0"/>
          <w:numId w:val="2"/>
        </w:numPr>
        <w:snapToGrid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highlight w:val="none"/>
          <w:lang w:val="en-US" w:eastAsia="zh-CN"/>
        </w:rPr>
        <w:t>服务周期：</w:t>
      </w:r>
      <w:r>
        <w:rPr>
          <w:rFonts w:hint="eastAsia" w:ascii="宋体" w:hAnsi="宋体" w:cs="宋体"/>
          <w:b w:val="0"/>
          <w:bCs w:val="0"/>
          <w:sz w:val="24"/>
          <w:highlight w:val="none"/>
          <w:lang w:val="en-US" w:eastAsia="zh-CN"/>
        </w:rPr>
        <w:t>服务期2个月。下单后15个</w:t>
      </w:r>
      <w:r>
        <w:rPr>
          <w:rFonts w:hint="eastAsia" w:ascii="宋体" w:hAnsi="宋体" w:eastAsia="宋体" w:cs="宋体"/>
          <w:b w:val="0"/>
          <w:bCs w:val="0"/>
          <w:sz w:val="24"/>
          <w:highlight w:val="none"/>
          <w:lang w:val="en-US" w:eastAsia="zh-CN"/>
        </w:rPr>
        <w:t>工作日内完成。</w:t>
      </w:r>
    </w:p>
    <w:p w14:paraId="4D5C21AB">
      <w:pPr>
        <w:numPr>
          <w:ilvl w:val="0"/>
          <w:numId w:val="2"/>
        </w:numPr>
        <w:snapToGrid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highlight w:val="none"/>
          <w:lang w:val="en-US" w:eastAsia="zh-CN"/>
        </w:rPr>
        <w:t>项目具体需求：</w:t>
      </w:r>
    </w:p>
    <w:p w14:paraId="5F622185">
      <w:pPr>
        <w:numPr>
          <w:numId w:val="0"/>
        </w:numPr>
        <w:snapToGrid w:val="0"/>
        <w:spacing w:line="360" w:lineRule="auto"/>
        <w:ind w:leftChars="0"/>
        <w:jc w:val="left"/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（1）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开展电梯自行检测，应当按照实施检测、出具检测备忘录、确认整改情况、公示检测及整改情况、出具检测报告、换取使用标志的程序进行。</w:t>
      </w:r>
    </w:p>
    <w:p w14:paraId="15B6B339">
      <w:pPr>
        <w:numPr>
          <w:numId w:val="0"/>
        </w:numPr>
        <w:snapToGrid w:val="0"/>
        <w:spacing w:line="360" w:lineRule="auto"/>
        <w:ind w:leftChars="0"/>
        <w:jc w:val="left"/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（2）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检测作业指导书。检测单位应当依据《电梯自行检测规则》（TSG T7008-2023），制定包括检测程序、内容、要求和方法的《电梯自行检测作业指导书（范本）》，明确检测记录格式和填写要求，用于指导具体的检测工作。</w:t>
      </w:r>
    </w:p>
    <w:p w14:paraId="7241970C">
      <w:pPr>
        <w:numPr>
          <w:numId w:val="0"/>
        </w:numPr>
        <w:snapToGrid w:val="0"/>
        <w:spacing w:line="360" w:lineRule="auto"/>
        <w:ind w:leftChars="0"/>
        <w:jc w:val="left"/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（3）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检测信息和档案。检测单位应当按照特种设备安全监管部门的要求，应用“浙江特种设备在线”等系统，推进实施“扫码检测”，及时传递、报告或者公示电梯自行检测信息。同时，应当及时将自行检测记录、《电梯自行检测备忘录》《电梯自行检测报告》《电梯自行检测符合性声明》等存入检测档案，检测档案至少保存 6 年。</w:t>
      </w:r>
    </w:p>
    <w:p w14:paraId="2DD5DB10">
      <w:pPr>
        <w:numPr>
          <w:numId w:val="0"/>
        </w:numPr>
        <w:snapToGrid w:val="0"/>
        <w:spacing w:line="360" w:lineRule="auto"/>
        <w:ind w:leftChars="0"/>
        <w:jc w:val="left"/>
        <w:rPr>
          <w:rStyle w:val="9"/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（4）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检测单位要按照当地市场监管部门要求，及时传递、报告或者公示电梯自行检测信息。各地市场监管部门要积极应用电梯等特种设备安全监管平台，为检测单位传递、报告自行检测信息提供便利，确保电梯检验检测方式调整有序平稳过渡。</w:t>
      </w:r>
    </w:p>
    <w:p w14:paraId="47DB6311">
      <w:pPr>
        <w:numPr>
          <w:ilvl w:val="0"/>
          <w:numId w:val="3"/>
        </w:numPr>
        <w:snapToGrid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本次服务限价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47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000元。</w:t>
      </w:r>
    </w:p>
    <w:p w14:paraId="54719A42">
      <w:pPr>
        <w:numPr>
          <w:ilvl w:val="0"/>
          <w:numId w:val="3"/>
        </w:numPr>
        <w:snapToGrid w:val="0"/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供应商可现场勘查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。（现场勘查联系人：杨老师13968828734）</w:t>
      </w:r>
    </w:p>
    <w:p w14:paraId="46C80FAF">
      <w:pPr>
        <w:numPr>
          <w:ilvl w:val="0"/>
          <w:numId w:val="3"/>
        </w:numPr>
        <w:snapToGrid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bCs/>
          <w:sz w:val="24"/>
          <w:szCs w:val="24"/>
        </w:rPr>
        <w:t>本项目不允许转包或分包。</w:t>
      </w:r>
    </w:p>
    <w:p w14:paraId="7B3E08E9">
      <w:pPr>
        <w:numPr>
          <w:ilvl w:val="0"/>
          <w:numId w:val="3"/>
        </w:numPr>
        <w:snapToGrid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费用结算：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中标方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完成设备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检验并出具检验报告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，经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确认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后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中标方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开具实际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检验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金额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100%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的符合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财务要求的正式发票后，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在审批完成后7日内支付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金额。</w:t>
      </w:r>
    </w:p>
    <w:p w14:paraId="4B067F64">
      <w:pPr>
        <w:numPr>
          <w:ilvl w:val="0"/>
          <w:numId w:val="3"/>
        </w:numPr>
        <w:snapToGrid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highlight w:val="none"/>
          <w:lang w:val="en-US" w:eastAsia="zh-CN"/>
        </w:rPr>
        <w:t>设备检测</w:t>
      </w:r>
      <w:r>
        <w:rPr>
          <w:rFonts w:hint="eastAsia" w:ascii="宋体" w:hAnsi="宋体" w:eastAsia="宋体" w:cs="宋体"/>
          <w:b w:val="0"/>
          <w:bCs w:val="0"/>
          <w:sz w:val="24"/>
          <w:highlight w:val="none"/>
          <w:lang w:val="en-US" w:eastAsia="zh-CN"/>
        </w:rPr>
        <w:t>清单：</w:t>
      </w:r>
    </w:p>
    <w:tbl>
      <w:tblPr>
        <w:tblStyle w:val="7"/>
        <w:tblW w:w="731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60"/>
        <w:gridCol w:w="3374"/>
        <w:gridCol w:w="1442"/>
      </w:tblGrid>
      <w:tr w14:paraId="1DCC42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0" w:type="dxa"/>
            <w:gridSpan w:val="4"/>
            <w:vAlign w:val="center"/>
          </w:tcPr>
          <w:p w14:paraId="0482FBE4">
            <w:pPr>
              <w:pStyle w:val="1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54台电梯年检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清单</w:t>
            </w:r>
          </w:p>
          <w:p w14:paraId="6BD298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41D8DC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4040C6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960" w:type="dxa"/>
            <w:vAlign w:val="center"/>
          </w:tcPr>
          <w:p w14:paraId="698381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</w:t>
            </w:r>
          </w:p>
        </w:tc>
        <w:tc>
          <w:tcPr>
            <w:tcW w:w="3374" w:type="dxa"/>
            <w:vAlign w:val="center"/>
          </w:tcPr>
          <w:p w14:paraId="0FC5E4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主要参数</w:t>
            </w:r>
          </w:p>
        </w:tc>
        <w:tc>
          <w:tcPr>
            <w:tcW w:w="1442" w:type="dxa"/>
            <w:vAlign w:val="center"/>
          </w:tcPr>
          <w:p w14:paraId="09D341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台数</w:t>
            </w:r>
          </w:p>
        </w:tc>
      </w:tr>
      <w:tr w14:paraId="2DB031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42085C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960" w:type="dxa"/>
            <w:vAlign w:val="center"/>
          </w:tcPr>
          <w:p w14:paraId="3E7579F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15F3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17层17站17门;额定载荷:1600kg;额定速度:1.75ms;控制方式:集选控制;</w:t>
            </w:r>
          </w:p>
        </w:tc>
        <w:tc>
          <w:tcPr>
            <w:tcW w:w="1442" w:type="dxa"/>
            <w:vAlign w:val="center"/>
          </w:tcPr>
          <w:p w14:paraId="026AA6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48C40C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534" w:type="dxa"/>
            <w:vAlign w:val="center"/>
          </w:tcPr>
          <w:p w14:paraId="3E46FE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60" w:type="dxa"/>
            <w:vAlign w:val="center"/>
          </w:tcPr>
          <w:p w14:paraId="1B6BE221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54C9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17层17站17门;额定载荷:1600kg;额定速度:1.75ms;控制方式:集选控制;</w:t>
            </w:r>
          </w:p>
        </w:tc>
        <w:tc>
          <w:tcPr>
            <w:tcW w:w="1442" w:type="dxa"/>
            <w:vAlign w:val="center"/>
          </w:tcPr>
          <w:p w14:paraId="46E84F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3396FA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17AF41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60" w:type="dxa"/>
            <w:vAlign w:val="center"/>
          </w:tcPr>
          <w:p w14:paraId="530D07D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28D4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17层17站17门;额定载荷:1600kg;额定速度:1.75ms;控制方式:集选控制;</w:t>
            </w:r>
          </w:p>
        </w:tc>
        <w:tc>
          <w:tcPr>
            <w:tcW w:w="1442" w:type="dxa"/>
            <w:vAlign w:val="center"/>
          </w:tcPr>
          <w:p w14:paraId="798EFE7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0849B2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56D902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60" w:type="dxa"/>
            <w:vAlign w:val="center"/>
          </w:tcPr>
          <w:p w14:paraId="3C733D3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5957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17层17站17门;额定载荷:1600kg;额定速度:1.75ms;控制方式:集选控制;</w:t>
            </w:r>
          </w:p>
        </w:tc>
        <w:tc>
          <w:tcPr>
            <w:tcW w:w="1442" w:type="dxa"/>
            <w:vAlign w:val="center"/>
          </w:tcPr>
          <w:p w14:paraId="2A31C4A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0D75A9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34" w:type="dxa"/>
            <w:vAlign w:val="center"/>
          </w:tcPr>
          <w:p w14:paraId="53017E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960" w:type="dxa"/>
            <w:vAlign w:val="center"/>
          </w:tcPr>
          <w:p w14:paraId="0BF6204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75E3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17层17站17门;额定载荷:1600kg;额定速度:1.75ms;控制方式:集选控制;</w:t>
            </w:r>
          </w:p>
        </w:tc>
        <w:tc>
          <w:tcPr>
            <w:tcW w:w="1442" w:type="dxa"/>
            <w:vAlign w:val="center"/>
          </w:tcPr>
          <w:p w14:paraId="5924C0A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046769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4" w:type="dxa"/>
            <w:vAlign w:val="center"/>
          </w:tcPr>
          <w:p w14:paraId="31E48D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60" w:type="dxa"/>
            <w:vAlign w:val="center"/>
          </w:tcPr>
          <w:p w14:paraId="513BC7F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3037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17层17站17门;额定载荷:1600kg;额定速度:1.75ms;控制方式:集选控制;</w:t>
            </w:r>
          </w:p>
        </w:tc>
        <w:tc>
          <w:tcPr>
            <w:tcW w:w="1442" w:type="dxa"/>
            <w:vAlign w:val="center"/>
          </w:tcPr>
          <w:p w14:paraId="17776C4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58A685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05BFD8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960" w:type="dxa"/>
            <w:vAlign w:val="center"/>
          </w:tcPr>
          <w:p w14:paraId="20B61F3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4CF8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17层17站17门;额定载荷:1600kg;额定速度:1.75ms;控制方式:集选控制;</w:t>
            </w:r>
          </w:p>
        </w:tc>
        <w:tc>
          <w:tcPr>
            <w:tcW w:w="1442" w:type="dxa"/>
            <w:vAlign w:val="center"/>
          </w:tcPr>
          <w:p w14:paraId="79022BC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169CCC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05C1CD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960" w:type="dxa"/>
            <w:vAlign w:val="center"/>
          </w:tcPr>
          <w:p w14:paraId="238A0F1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38BD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17层17站17门;额定载荷:1600kg;额定速度:1.75ms;控制方式:集选控制;</w:t>
            </w:r>
          </w:p>
        </w:tc>
        <w:tc>
          <w:tcPr>
            <w:tcW w:w="1442" w:type="dxa"/>
            <w:vAlign w:val="center"/>
          </w:tcPr>
          <w:p w14:paraId="4EF36BF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4E1051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2AB263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960" w:type="dxa"/>
            <w:vAlign w:val="center"/>
          </w:tcPr>
          <w:p w14:paraId="4F5CC36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5830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17层17站17门;额定载荷:1600kg;额定速度:1.75ms;控制方式:集选控制;</w:t>
            </w:r>
          </w:p>
        </w:tc>
        <w:tc>
          <w:tcPr>
            <w:tcW w:w="1442" w:type="dxa"/>
            <w:vAlign w:val="center"/>
          </w:tcPr>
          <w:p w14:paraId="1142442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14F02D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4" w:type="dxa"/>
            <w:vAlign w:val="center"/>
          </w:tcPr>
          <w:p w14:paraId="0A578D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60" w:type="dxa"/>
            <w:vAlign w:val="center"/>
          </w:tcPr>
          <w:p w14:paraId="46F1D20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2B8D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17层17站17门;额定载荷:1600kg;额定速度:1.75ms;控制方式:集选控制;</w:t>
            </w:r>
          </w:p>
        </w:tc>
        <w:tc>
          <w:tcPr>
            <w:tcW w:w="1442" w:type="dxa"/>
            <w:vAlign w:val="center"/>
          </w:tcPr>
          <w:p w14:paraId="5CCD10A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6D53E6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0BD048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960" w:type="dxa"/>
            <w:vAlign w:val="center"/>
          </w:tcPr>
          <w:p w14:paraId="5ED3601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5329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16层16站16门;额定载荷:1600kg;额定速度:1.75ms;控制方式:梯群控制;</w:t>
            </w:r>
          </w:p>
        </w:tc>
        <w:tc>
          <w:tcPr>
            <w:tcW w:w="1442" w:type="dxa"/>
            <w:vAlign w:val="center"/>
          </w:tcPr>
          <w:p w14:paraId="3AB38B6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524585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3C62E4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960" w:type="dxa"/>
            <w:vAlign w:val="center"/>
          </w:tcPr>
          <w:p w14:paraId="0F19D26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50D1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16层16站16门;额定载荷:1600kg;额定速度:1.75ms;控制方式:梯群控制;</w:t>
            </w:r>
          </w:p>
        </w:tc>
        <w:tc>
          <w:tcPr>
            <w:tcW w:w="1442" w:type="dxa"/>
            <w:vAlign w:val="center"/>
          </w:tcPr>
          <w:p w14:paraId="5645613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6AC8A8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369B88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960" w:type="dxa"/>
            <w:vAlign w:val="center"/>
          </w:tcPr>
          <w:p w14:paraId="7E2AAD3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26F0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16层16站16门;额定载荷:1600kg;额定速度:1.75ms;控制方式:梯群控制;</w:t>
            </w:r>
          </w:p>
        </w:tc>
        <w:tc>
          <w:tcPr>
            <w:tcW w:w="1442" w:type="dxa"/>
            <w:vAlign w:val="center"/>
          </w:tcPr>
          <w:p w14:paraId="35A238E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141EF9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5898F2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960" w:type="dxa"/>
            <w:vAlign w:val="center"/>
          </w:tcPr>
          <w:p w14:paraId="4A22144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0FEA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16层16站16门;额定载荷:1600kg;额定速度:1.75ms;控制方式:梯群控制;</w:t>
            </w:r>
          </w:p>
        </w:tc>
        <w:tc>
          <w:tcPr>
            <w:tcW w:w="1442" w:type="dxa"/>
            <w:vAlign w:val="center"/>
          </w:tcPr>
          <w:p w14:paraId="6644F8A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615CC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6F0290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960" w:type="dxa"/>
            <w:vAlign w:val="center"/>
          </w:tcPr>
          <w:p w14:paraId="15AA34F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3BB4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16层16站16门;额定载荷:1600kg;额定速度:1.75ms;控制方式:梯群控制;</w:t>
            </w:r>
          </w:p>
        </w:tc>
        <w:tc>
          <w:tcPr>
            <w:tcW w:w="1442" w:type="dxa"/>
            <w:vAlign w:val="center"/>
          </w:tcPr>
          <w:p w14:paraId="6AAEB6C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7A6EAA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50876B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960" w:type="dxa"/>
            <w:vAlign w:val="center"/>
          </w:tcPr>
          <w:p w14:paraId="009A4CD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15F3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16层16站16门;额定载荷:1600kg;额定速度:1.75ms;控制方式:梯群控制;</w:t>
            </w:r>
          </w:p>
        </w:tc>
        <w:tc>
          <w:tcPr>
            <w:tcW w:w="1442" w:type="dxa"/>
            <w:vAlign w:val="center"/>
          </w:tcPr>
          <w:p w14:paraId="61520E3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1397B0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0EDA37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960" w:type="dxa"/>
            <w:vAlign w:val="center"/>
          </w:tcPr>
          <w:p w14:paraId="5EF8F8D5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103F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14层14站14门;额定载荷:1600kg;额定速度:1.75 ms;控制方式:并联控制;</w:t>
            </w:r>
          </w:p>
        </w:tc>
        <w:tc>
          <w:tcPr>
            <w:tcW w:w="1442" w:type="dxa"/>
            <w:vAlign w:val="center"/>
          </w:tcPr>
          <w:p w14:paraId="406A91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7FB55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52794BA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960" w:type="dxa"/>
            <w:vAlign w:val="center"/>
          </w:tcPr>
          <w:p w14:paraId="26E4AC9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4265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14层14站14门;额定载荷:1600kg;额定速度:1.75 ms;控制方式:并联控制;</w:t>
            </w:r>
          </w:p>
        </w:tc>
        <w:tc>
          <w:tcPr>
            <w:tcW w:w="1442" w:type="dxa"/>
            <w:vAlign w:val="center"/>
          </w:tcPr>
          <w:p w14:paraId="654C61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49645D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575FEF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960" w:type="dxa"/>
            <w:vAlign w:val="center"/>
          </w:tcPr>
          <w:p w14:paraId="63E084A6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3F4E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13层13站13门;额定载荷:1600kg;额定速度:1.75 ms;控制方式:并联控制</w:t>
            </w:r>
          </w:p>
        </w:tc>
        <w:tc>
          <w:tcPr>
            <w:tcW w:w="1442" w:type="dxa"/>
            <w:vAlign w:val="center"/>
          </w:tcPr>
          <w:p w14:paraId="13C87A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223FB5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2DE648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960" w:type="dxa"/>
            <w:vAlign w:val="center"/>
          </w:tcPr>
          <w:p w14:paraId="78629037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585C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11层11站11门;额定载荷:1600 kg;额定速度:1.75ms;控制方式:集选控制;</w:t>
            </w:r>
          </w:p>
        </w:tc>
        <w:tc>
          <w:tcPr>
            <w:tcW w:w="1442" w:type="dxa"/>
            <w:vAlign w:val="center"/>
          </w:tcPr>
          <w:p w14:paraId="2E2450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3F609E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5B06A8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960" w:type="dxa"/>
            <w:vAlign w:val="center"/>
          </w:tcPr>
          <w:p w14:paraId="40B8EADE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58FF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10层10站10门;额定载荷:1600 kg;额定速度:1.75ms;控制方式:集选控制;</w:t>
            </w:r>
          </w:p>
        </w:tc>
        <w:tc>
          <w:tcPr>
            <w:tcW w:w="1442" w:type="dxa"/>
            <w:vAlign w:val="center"/>
          </w:tcPr>
          <w:p w14:paraId="5A8D9F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6A74E8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19EFE3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960" w:type="dxa"/>
            <w:vAlign w:val="center"/>
          </w:tcPr>
          <w:p w14:paraId="76DE0B5D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128F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6层6站6门:额定载荷:1600kg;额定速度:1.75ms;控制方式:梯群控制:</w:t>
            </w:r>
          </w:p>
        </w:tc>
        <w:tc>
          <w:tcPr>
            <w:tcW w:w="1442" w:type="dxa"/>
            <w:vAlign w:val="center"/>
          </w:tcPr>
          <w:p w14:paraId="3395E7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227075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7B51C2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960" w:type="dxa"/>
            <w:vAlign w:val="center"/>
          </w:tcPr>
          <w:p w14:paraId="64CD76F0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1E93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6层6站6门:额定载荷:1600kg;额定速度:1.75ms;控制方式:梯群控制:</w:t>
            </w:r>
          </w:p>
        </w:tc>
        <w:tc>
          <w:tcPr>
            <w:tcW w:w="1442" w:type="dxa"/>
            <w:vAlign w:val="center"/>
          </w:tcPr>
          <w:p w14:paraId="44C8C9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280690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4EC5E5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960" w:type="dxa"/>
            <w:vAlign w:val="center"/>
          </w:tcPr>
          <w:p w14:paraId="19112E46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08F3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6层6站6门:额定载荷:1600kg;额定速度:1.75ms;控制方式:梯群控制:</w:t>
            </w:r>
          </w:p>
        </w:tc>
        <w:tc>
          <w:tcPr>
            <w:tcW w:w="1442" w:type="dxa"/>
            <w:vAlign w:val="center"/>
          </w:tcPr>
          <w:p w14:paraId="6944F1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1CFEC0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367C17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960" w:type="dxa"/>
            <w:vAlign w:val="center"/>
          </w:tcPr>
          <w:p w14:paraId="42341C1A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79A8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6层6站6门:额定载荷:1600kg;额定速度:1.75ms;控制方式:梯群控制:</w:t>
            </w:r>
          </w:p>
        </w:tc>
        <w:tc>
          <w:tcPr>
            <w:tcW w:w="1442" w:type="dxa"/>
            <w:vAlign w:val="center"/>
          </w:tcPr>
          <w:p w14:paraId="3BA66F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09DBAD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5B82B6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960" w:type="dxa"/>
            <w:vAlign w:val="center"/>
          </w:tcPr>
          <w:p w14:paraId="1F9D9B34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6571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6层6站6门:额定载荷:1600kg;额定速度:1.75ms;控制方式:梯群控制:</w:t>
            </w:r>
          </w:p>
        </w:tc>
        <w:tc>
          <w:tcPr>
            <w:tcW w:w="1442" w:type="dxa"/>
            <w:vAlign w:val="center"/>
          </w:tcPr>
          <w:p w14:paraId="3E3198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5761C8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34F9E7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960" w:type="dxa"/>
            <w:vAlign w:val="center"/>
          </w:tcPr>
          <w:p w14:paraId="4A6BDB0F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7530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6层6站6门:额定载荷:1600kg;额定速度:1.75ms;控制方式:梯群控制:</w:t>
            </w:r>
          </w:p>
        </w:tc>
        <w:tc>
          <w:tcPr>
            <w:tcW w:w="1442" w:type="dxa"/>
            <w:vAlign w:val="center"/>
          </w:tcPr>
          <w:p w14:paraId="4E6653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33DAC4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4" w:type="dxa"/>
            <w:vAlign w:val="center"/>
          </w:tcPr>
          <w:p w14:paraId="14EBA0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960" w:type="dxa"/>
            <w:vAlign w:val="center"/>
          </w:tcPr>
          <w:p w14:paraId="5F955A0A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78BF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6层6站6门:额定载荷:1600kg;额定速度:1.75ms;控制方式:梯群控制:</w:t>
            </w:r>
          </w:p>
        </w:tc>
        <w:tc>
          <w:tcPr>
            <w:tcW w:w="1442" w:type="dxa"/>
            <w:vAlign w:val="center"/>
          </w:tcPr>
          <w:p w14:paraId="5C3890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61FA17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4E094C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960" w:type="dxa"/>
            <w:vAlign w:val="center"/>
          </w:tcPr>
          <w:p w14:paraId="4BDAD14D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6DF6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6层6站6门:额定载荷:1600kg;额定速度:1.75ms;控制方式:梯群控制:</w:t>
            </w:r>
          </w:p>
        </w:tc>
        <w:tc>
          <w:tcPr>
            <w:tcW w:w="1442" w:type="dxa"/>
            <w:vAlign w:val="center"/>
          </w:tcPr>
          <w:p w14:paraId="155FAB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10654F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753412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960" w:type="dxa"/>
            <w:vAlign w:val="center"/>
          </w:tcPr>
          <w:p w14:paraId="760CA096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208B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5层5站5门:额定载荷:1600kg;额定速度:1.75ms;控制方式:梯群控制:</w:t>
            </w:r>
          </w:p>
        </w:tc>
        <w:tc>
          <w:tcPr>
            <w:tcW w:w="1442" w:type="dxa"/>
            <w:vAlign w:val="center"/>
          </w:tcPr>
          <w:p w14:paraId="5F2B04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117AA0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0E73E4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960" w:type="dxa"/>
            <w:vAlign w:val="center"/>
          </w:tcPr>
          <w:p w14:paraId="6850A00B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2CE8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5层5站5门:额定载荷:1600kg;额定速度:1.75ms;控制方式:梯群控制:</w:t>
            </w:r>
          </w:p>
        </w:tc>
        <w:tc>
          <w:tcPr>
            <w:tcW w:w="1442" w:type="dxa"/>
            <w:vAlign w:val="center"/>
          </w:tcPr>
          <w:p w14:paraId="10986E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43AE6E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4432C6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960" w:type="dxa"/>
            <w:vAlign w:val="center"/>
          </w:tcPr>
          <w:p w14:paraId="5A6A7BA3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7324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5层5站5门:额定载荷:1600kg;额定速度:1.75ms;控制方式:梯群控制:</w:t>
            </w:r>
          </w:p>
        </w:tc>
        <w:tc>
          <w:tcPr>
            <w:tcW w:w="1442" w:type="dxa"/>
            <w:vAlign w:val="center"/>
          </w:tcPr>
          <w:p w14:paraId="0087CB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4CF018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1B0093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960" w:type="dxa"/>
            <w:vAlign w:val="center"/>
          </w:tcPr>
          <w:p w14:paraId="350D70C4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780B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5层5站5门:额定载荷:1600kg;额定速度:1.75ms;控制方式:梯群控制:</w:t>
            </w:r>
          </w:p>
        </w:tc>
        <w:tc>
          <w:tcPr>
            <w:tcW w:w="1442" w:type="dxa"/>
            <w:vAlign w:val="center"/>
          </w:tcPr>
          <w:p w14:paraId="4506AA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226CA4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5519D6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960" w:type="dxa"/>
            <w:vAlign w:val="center"/>
          </w:tcPr>
          <w:p w14:paraId="2D5085BB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3A0C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5层5站5门:额定载荷:1600kg;额定速度:1.75ms;控制方式:梯群控制:</w:t>
            </w:r>
          </w:p>
        </w:tc>
        <w:tc>
          <w:tcPr>
            <w:tcW w:w="1442" w:type="dxa"/>
            <w:vAlign w:val="center"/>
          </w:tcPr>
          <w:p w14:paraId="4D3B91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5DB014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31B890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960" w:type="dxa"/>
            <w:vAlign w:val="center"/>
          </w:tcPr>
          <w:p w14:paraId="42004231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0313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5层5站5门:额定载荷:1600kg;额定速度:1.75ms;控制方式:梯群控制:</w:t>
            </w:r>
          </w:p>
        </w:tc>
        <w:tc>
          <w:tcPr>
            <w:tcW w:w="1442" w:type="dxa"/>
            <w:vAlign w:val="center"/>
          </w:tcPr>
          <w:p w14:paraId="474297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62332E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38EFBD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960" w:type="dxa"/>
            <w:vAlign w:val="center"/>
          </w:tcPr>
          <w:p w14:paraId="7EA0CE92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43F8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4层4站4门;额定载荷:1600kg;额定速度:1.75 ms;控制方式:集选控制;</w:t>
            </w:r>
          </w:p>
        </w:tc>
        <w:tc>
          <w:tcPr>
            <w:tcW w:w="1442" w:type="dxa"/>
            <w:vAlign w:val="center"/>
          </w:tcPr>
          <w:p w14:paraId="0C8E2B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6D6D2F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5BAA3C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68529B5E"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4423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4层4站4门;额定载荷:1600kg;额定速度:1.75 ms;控制方式:集选控制;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DB5595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 w14:paraId="4694DA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0CF5B2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960" w:type="dxa"/>
            <w:vAlign w:val="center"/>
          </w:tcPr>
          <w:p w14:paraId="347EC53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5BD7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3层2站2门;额定载荷:1600kg;额定速度:1.75ms;控制方式:集选控制;</w:t>
            </w:r>
          </w:p>
        </w:tc>
        <w:tc>
          <w:tcPr>
            <w:tcW w:w="1442" w:type="dxa"/>
            <w:vAlign w:val="center"/>
          </w:tcPr>
          <w:p w14:paraId="0C8015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50C677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3AEF5B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960" w:type="dxa"/>
            <w:vAlign w:val="center"/>
          </w:tcPr>
          <w:p w14:paraId="428AA86B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6F70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3层2站2门;额定载荷:1600kg;额定速度:1.75ms;控制方式:集选控制;</w:t>
            </w:r>
          </w:p>
        </w:tc>
        <w:tc>
          <w:tcPr>
            <w:tcW w:w="1442" w:type="dxa"/>
            <w:vAlign w:val="center"/>
          </w:tcPr>
          <w:p w14:paraId="58E17C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280C8A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13A7CE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960" w:type="dxa"/>
            <w:vAlign w:val="center"/>
          </w:tcPr>
          <w:p w14:paraId="45307F54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1680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2层2站2门;额定载荷:1050kg;额定速度:1.0ms;控制方式:集选控制:</w:t>
            </w:r>
          </w:p>
        </w:tc>
        <w:tc>
          <w:tcPr>
            <w:tcW w:w="1442" w:type="dxa"/>
            <w:vAlign w:val="center"/>
          </w:tcPr>
          <w:p w14:paraId="0D5FC5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775C82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6767C3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960" w:type="dxa"/>
            <w:vAlign w:val="center"/>
          </w:tcPr>
          <w:p w14:paraId="5A58478D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1BD1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2层2站2门;额定载荷:1050kg;额定速度:1.0ms;控制方式:集选控制:</w:t>
            </w:r>
          </w:p>
        </w:tc>
        <w:tc>
          <w:tcPr>
            <w:tcW w:w="1442" w:type="dxa"/>
            <w:vAlign w:val="center"/>
          </w:tcPr>
          <w:p w14:paraId="690C67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771CD7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3FFB88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960" w:type="dxa"/>
            <w:vAlign w:val="center"/>
          </w:tcPr>
          <w:p w14:paraId="4B23CE68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7EA1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2层2站2门;额定载荷:1050kg;额定速度:1.0ms;控制方式:集选控制:</w:t>
            </w:r>
          </w:p>
        </w:tc>
        <w:tc>
          <w:tcPr>
            <w:tcW w:w="1442" w:type="dxa"/>
            <w:vAlign w:val="center"/>
          </w:tcPr>
          <w:p w14:paraId="2E84C6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551A02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37D462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960" w:type="dxa"/>
            <w:vAlign w:val="center"/>
          </w:tcPr>
          <w:p w14:paraId="5688134F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4BBF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2层2站2门;额定载荷:1050kg;额定速度:1.0ms;控制方式:集选控制:</w:t>
            </w:r>
          </w:p>
        </w:tc>
        <w:tc>
          <w:tcPr>
            <w:tcW w:w="1442" w:type="dxa"/>
            <w:vAlign w:val="center"/>
          </w:tcPr>
          <w:p w14:paraId="209F9E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6E906E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20B5CA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960" w:type="dxa"/>
            <w:vAlign w:val="center"/>
          </w:tcPr>
          <w:p w14:paraId="51934080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7950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2层2站2门;额定载荷:1050kg;额定速度:1.0ms;控制方式:集选控制:</w:t>
            </w:r>
          </w:p>
        </w:tc>
        <w:tc>
          <w:tcPr>
            <w:tcW w:w="1442" w:type="dxa"/>
            <w:vAlign w:val="center"/>
          </w:tcPr>
          <w:p w14:paraId="7624F1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3D4324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6B47238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960" w:type="dxa"/>
            <w:vAlign w:val="center"/>
          </w:tcPr>
          <w:p w14:paraId="37305211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自动扶梯</w:t>
            </w:r>
          </w:p>
        </w:tc>
        <w:tc>
          <w:tcPr>
            <w:tcW w:w="3374" w:type="dxa"/>
            <w:vAlign w:val="center"/>
          </w:tcPr>
          <w:p w14:paraId="690F6E5F">
            <w:pPr>
              <w:numPr>
                <w:ilvl w:val="0"/>
                <w:numId w:val="0"/>
              </w:numPr>
              <w:spacing w:line="240" w:lineRule="auto"/>
              <w:ind w:left="0"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额定速度：0ms，使用区段长度：m</w:t>
            </w:r>
          </w:p>
        </w:tc>
        <w:tc>
          <w:tcPr>
            <w:tcW w:w="1442" w:type="dxa"/>
            <w:vAlign w:val="center"/>
          </w:tcPr>
          <w:p w14:paraId="6D99CA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40932B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5837E14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960" w:type="dxa"/>
            <w:vAlign w:val="center"/>
          </w:tcPr>
          <w:p w14:paraId="61E70E48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自动扶梯</w:t>
            </w:r>
          </w:p>
        </w:tc>
        <w:tc>
          <w:tcPr>
            <w:tcW w:w="3374" w:type="dxa"/>
            <w:vAlign w:val="center"/>
          </w:tcPr>
          <w:p w14:paraId="69E3FF1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额定速度：0ms，使用区段长度：m</w:t>
            </w:r>
          </w:p>
        </w:tc>
        <w:tc>
          <w:tcPr>
            <w:tcW w:w="1442" w:type="dxa"/>
            <w:vAlign w:val="center"/>
          </w:tcPr>
          <w:p w14:paraId="759733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20BC2F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4065EF7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960" w:type="dxa"/>
            <w:vAlign w:val="center"/>
          </w:tcPr>
          <w:p w14:paraId="670BDD80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自动扶梯</w:t>
            </w:r>
          </w:p>
        </w:tc>
        <w:tc>
          <w:tcPr>
            <w:tcW w:w="3374" w:type="dxa"/>
            <w:vAlign w:val="center"/>
          </w:tcPr>
          <w:p w14:paraId="0E251A93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额定速度：0ms，使用区段长度：m</w:t>
            </w:r>
          </w:p>
        </w:tc>
        <w:tc>
          <w:tcPr>
            <w:tcW w:w="1442" w:type="dxa"/>
            <w:vAlign w:val="center"/>
          </w:tcPr>
          <w:p w14:paraId="24BA0F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7664E9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2AC1518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960" w:type="dxa"/>
            <w:vAlign w:val="center"/>
          </w:tcPr>
          <w:p w14:paraId="0F410BB3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自动扶梯</w:t>
            </w:r>
          </w:p>
        </w:tc>
        <w:tc>
          <w:tcPr>
            <w:tcW w:w="3374" w:type="dxa"/>
            <w:vAlign w:val="center"/>
          </w:tcPr>
          <w:p w14:paraId="5C93E1B3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额定速度：0ms，使用区段长度：m</w:t>
            </w:r>
          </w:p>
        </w:tc>
        <w:tc>
          <w:tcPr>
            <w:tcW w:w="1442" w:type="dxa"/>
            <w:vAlign w:val="center"/>
          </w:tcPr>
          <w:p w14:paraId="53B584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49F79B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6788C04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960" w:type="dxa"/>
            <w:vAlign w:val="center"/>
          </w:tcPr>
          <w:p w14:paraId="6DA7BB48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自动扶梯</w:t>
            </w:r>
          </w:p>
        </w:tc>
        <w:tc>
          <w:tcPr>
            <w:tcW w:w="3374" w:type="dxa"/>
            <w:vAlign w:val="center"/>
          </w:tcPr>
          <w:p w14:paraId="5D8CBDA8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额定速度：0ms，使用区段长度：m</w:t>
            </w:r>
          </w:p>
        </w:tc>
        <w:tc>
          <w:tcPr>
            <w:tcW w:w="1442" w:type="dxa"/>
            <w:vAlign w:val="center"/>
          </w:tcPr>
          <w:p w14:paraId="388A20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09CEBA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26C5335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960" w:type="dxa"/>
            <w:vAlign w:val="center"/>
          </w:tcPr>
          <w:p w14:paraId="1AC1F163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自动扶梯</w:t>
            </w:r>
          </w:p>
        </w:tc>
        <w:tc>
          <w:tcPr>
            <w:tcW w:w="3374" w:type="dxa"/>
            <w:vAlign w:val="center"/>
          </w:tcPr>
          <w:p w14:paraId="2EFB9E3B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额定速度：0ms，使用区段长度：m</w:t>
            </w:r>
          </w:p>
        </w:tc>
        <w:tc>
          <w:tcPr>
            <w:tcW w:w="1442" w:type="dxa"/>
            <w:vAlign w:val="center"/>
          </w:tcPr>
          <w:p w14:paraId="21C923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26FF61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741A268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960" w:type="dxa"/>
            <w:vAlign w:val="center"/>
          </w:tcPr>
          <w:p w14:paraId="7DA7397F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自动扶梯</w:t>
            </w:r>
          </w:p>
        </w:tc>
        <w:tc>
          <w:tcPr>
            <w:tcW w:w="3374" w:type="dxa"/>
            <w:vAlign w:val="center"/>
          </w:tcPr>
          <w:p w14:paraId="39689EE5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额定速度：0ms，使用区段长度：m</w:t>
            </w:r>
          </w:p>
        </w:tc>
        <w:tc>
          <w:tcPr>
            <w:tcW w:w="1442" w:type="dxa"/>
            <w:vAlign w:val="center"/>
          </w:tcPr>
          <w:p w14:paraId="7DD25E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02F179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512BD51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960" w:type="dxa"/>
            <w:vAlign w:val="center"/>
          </w:tcPr>
          <w:p w14:paraId="4A6655DF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自动扶梯</w:t>
            </w:r>
          </w:p>
        </w:tc>
        <w:tc>
          <w:tcPr>
            <w:tcW w:w="3374" w:type="dxa"/>
            <w:vAlign w:val="center"/>
          </w:tcPr>
          <w:p w14:paraId="5A1B72A1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额定速度：0ms，使用区段长度：m</w:t>
            </w:r>
          </w:p>
        </w:tc>
        <w:tc>
          <w:tcPr>
            <w:tcW w:w="1442" w:type="dxa"/>
            <w:vAlign w:val="center"/>
          </w:tcPr>
          <w:p w14:paraId="2AC6D5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75AE5F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2E06A9E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960" w:type="dxa"/>
            <w:vAlign w:val="center"/>
          </w:tcPr>
          <w:p w14:paraId="5900C71A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自动扶梯</w:t>
            </w:r>
          </w:p>
        </w:tc>
        <w:tc>
          <w:tcPr>
            <w:tcW w:w="3374" w:type="dxa"/>
            <w:vAlign w:val="center"/>
          </w:tcPr>
          <w:p w14:paraId="216DE10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额定速度：0ms，使用区段长度：m</w:t>
            </w:r>
          </w:p>
        </w:tc>
        <w:tc>
          <w:tcPr>
            <w:tcW w:w="1442" w:type="dxa"/>
            <w:vAlign w:val="center"/>
          </w:tcPr>
          <w:p w14:paraId="7B7606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37700B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34" w:type="dxa"/>
            <w:vAlign w:val="center"/>
          </w:tcPr>
          <w:p w14:paraId="2D56578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960" w:type="dxa"/>
            <w:vAlign w:val="center"/>
          </w:tcPr>
          <w:p w14:paraId="7820B710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自动扶梯</w:t>
            </w:r>
          </w:p>
        </w:tc>
        <w:tc>
          <w:tcPr>
            <w:tcW w:w="3374" w:type="dxa"/>
            <w:vAlign w:val="center"/>
          </w:tcPr>
          <w:p w14:paraId="6FC81DAB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额定速度：0ms，使用区段长度：m</w:t>
            </w:r>
          </w:p>
        </w:tc>
        <w:tc>
          <w:tcPr>
            <w:tcW w:w="1442" w:type="dxa"/>
            <w:vAlign w:val="center"/>
          </w:tcPr>
          <w:p w14:paraId="39F390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5101E4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310" w:type="dxa"/>
            <w:gridSpan w:val="4"/>
            <w:vAlign w:val="center"/>
          </w:tcPr>
          <w:p w14:paraId="1CDFC632">
            <w:pPr>
              <w:pStyle w:val="1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17台电梯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125%额定载重量制动试验清单</w:t>
            </w:r>
          </w:p>
          <w:p w14:paraId="291F86B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B0588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34" w:type="dxa"/>
            <w:vAlign w:val="center"/>
          </w:tcPr>
          <w:p w14:paraId="3A07F1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60" w:type="dxa"/>
            <w:vAlign w:val="center"/>
          </w:tcPr>
          <w:p w14:paraId="52505C45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3F42C32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17层17站17门;额定载荷:1600kg;额定速度:1.75ms;控制方式:集选控制;</w:t>
            </w:r>
          </w:p>
        </w:tc>
        <w:tc>
          <w:tcPr>
            <w:tcW w:w="1442" w:type="dxa"/>
            <w:vAlign w:val="center"/>
          </w:tcPr>
          <w:p w14:paraId="5F717C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18A3A6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34" w:type="dxa"/>
            <w:vAlign w:val="center"/>
          </w:tcPr>
          <w:p w14:paraId="630EF2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60" w:type="dxa"/>
            <w:vAlign w:val="center"/>
          </w:tcPr>
          <w:p w14:paraId="78B36A42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4994EF0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17层17站17门;额定载荷:1600kg;额定速度:1.75ms;控制方式:集选控制;</w:t>
            </w:r>
          </w:p>
        </w:tc>
        <w:tc>
          <w:tcPr>
            <w:tcW w:w="1442" w:type="dxa"/>
            <w:vAlign w:val="center"/>
          </w:tcPr>
          <w:p w14:paraId="4186E6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0C01DD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34" w:type="dxa"/>
            <w:vAlign w:val="center"/>
          </w:tcPr>
          <w:p w14:paraId="34975B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60" w:type="dxa"/>
            <w:vAlign w:val="center"/>
          </w:tcPr>
          <w:p w14:paraId="4258FC92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0D3CD915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16层16站16门;额定载荷:1600kg;额定速度:1.75ms;控制方式:梯群控制;</w:t>
            </w:r>
          </w:p>
        </w:tc>
        <w:tc>
          <w:tcPr>
            <w:tcW w:w="1442" w:type="dxa"/>
            <w:vAlign w:val="center"/>
          </w:tcPr>
          <w:p w14:paraId="6EFD1E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770AA3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34" w:type="dxa"/>
            <w:vAlign w:val="center"/>
          </w:tcPr>
          <w:p w14:paraId="71E464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60" w:type="dxa"/>
            <w:vAlign w:val="center"/>
          </w:tcPr>
          <w:p w14:paraId="349B322A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55AA1C9C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16层16站16门;额定载荷:1600kg;额定速度:1.75ms;控制方式:梯群控制;</w:t>
            </w:r>
          </w:p>
        </w:tc>
        <w:tc>
          <w:tcPr>
            <w:tcW w:w="1442" w:type="dxa"/>
            <w:vAlign w:val="center"/>
          </w:tcPr>
          <w:p w14:paraId="06B579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4B122A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34" w:type="dxa"/>
            <w:vAlign w:val="center"/>
          </w:tcPr>
          <w:p w14:paraId="36DC3D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60" w:type="dxa"/>
            <w:vAlign w:val="center"/>
          </w:tcPr>
          <w:p w14:paraId="1B03BABC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27D56997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14层14站14门;额定载荷:1600kg;额定速度:1.75 ms;控制方式:并联控制;</w:t>
            </w:r>
          </w:p>
        </w:tc>
        <w:tc>
          <w:tcPr>
            <w:tcW w:w="1442" w:type="dxa"/>
            <w:vAlign w:val="center"/>
          </w:tcPr>
          <w:p w14:paraId="2E3EFD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16C41E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34" w:type="dxa"/>
            <w:vAlign w:val="center"/>
          </w:tcPr>
          <w:p w14:paraId="017B92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60" w:type="dxa"/>
            <w:vAlign w:val="center"/>
          </w:tcPr>
          <w:p w14:paraId="2C84D5F7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39458722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14层14站14门;额定载荷:1600kg;额定速度:1.75 ms;控制方式:并联控制;</w:t>
            </w:r>
          </w:p>
        </w:tc>
        <w:tc>
          <w:tcPr>
            <w:tcW w:w="1442" w:type="dxa"/>
            <w:vAlign w:val="center"/>
          </w:tcPr>
          <w:p w14:paraId="25D610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354E2D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34" w:type="dxa"/>
            <w:vAlign w:val="center"/>
          </w:tcPr>
          <w:p w14:paraId="610404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60" w:type="dxa"/>
            <w:vAlign w:val="center"/>
          </w:tcPr>
          <w:p w14:paraId="47A75BA7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5A3CA9A5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13层13站13门;额定载荷:1600kg;额定速度:1.75 ms;控制方式:并联控制</w:t>
            </w:r>
          </w:p>
        </w:tc>
        <w:tc>
          <w:tcPr>
            <w:tcW w:w="1442" w:type="dxa"/>
            <w:vAlign w:val="center"/>
          </w:tcPr>
          <w:p w14:paraId="612FB2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470628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34" w:type="dxa"/>
            <w:vAlign w:val="center"/>
          </w:tcPr>
          <w:p w14:paraId="2C6F5E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60" w:type="dxa"/>
            <w:vAlign w:val="center"/>
          </w:tcPr>
          <w:p w14:paraId="14676993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3021E768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11层11站11门;额定载荷:1600 kg;额定速度:1.75ms;控制方式:集选控制;</w:t>
            </w:r>
          </w:p>
        </w:tc>
        <w:tc>
          <w:tcPr>
            <w:tcW w:w="1442" w:type="dxa"/>
            <w:vAlign w:val="center"/>
          </w:tcPr>
          <w:p w14:paraId="0EE5EC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41E3D2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34" w:type="dxa"/>
            <w:vAlign w:val="center"/>
          </w:tcPr>
          <w:p w14:paraId="5597CE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60" w:type="dxa"/>
            <w:vAlign w:val="center"/>
          </w:tcPr>
          <w:p w14:paraId="7C10422C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1B04228A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10层10站10门;额定载荷:1600 kg;额定速度:1.75ms;控制方式:集选控制;</w:t>
            </w:r>
          </w:p>
        </w:tc>
        <w:tc>
          <w:tcPr>
            <w:tcW w:w="1442" w:type="dxa"/>
            <w:vAlign w:val="center"/>
          </w:tcPr>
          <w:p w14:paraId="3DF2B7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2F3667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34" w:type="dxa"/>
            <w:vAlign w:val="center"/>
          </w:tcPr>
          <w:p w14:paraId="7D1B83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60" w:type="dxa"/>
            <w:vAlign w:val="center"/>
          </w:tcPr>
          <w:p w14:paraId="0E86E881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48AA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6层6站6门:额定载荷:1600kg;额定速度:1.75ms;控制方式:梯群控制:</w:t>
            </w:r>
          </w:p>
        </w:tc>
        <w:tc>
          <w:tcPr>
            <w:tcW w:w="1442" w:type="dxa"/>
            <w:vAlign w:val="center"/>
          </w:tcPr>
          <w:p w14:paraId="1A0598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50BCEA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34" w:type="dxa"/>
            <w:vAlign w:val="center"/>
          </w:tcPr>
          <w:p w14:paraId="65116C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960" w:type="dxa"/>
            <w:vAlign w:val="center"/>
          </w:tcPr>
          <w:p w14:paraId="1AFDF4C6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1E4A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6层6站6门:额定载荷:1600kg;额定速度:1.75ms;控制方式:梯群控制:</w:t>
            </w:r>
          </w:p>
        </w:tc>
        <w:tc>
          <w:tcPr>
            <w:tcW w:w="1442" w:type="dxa"/>
            <w:vAlign w:val="center"/>
          </w:tcPr>
          <w:p w14:paraId="5958B7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0ECEBC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34" w:type="dxa"/>
            <w:vAlign w:val="center"/>
          </w:tcPr>
          <w:p w14:paraId="66AB09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960" w:type="dxa"/>
            <w:vAlign w:val="center"/>
          </w:tcPr>
          <w:p w14:paraId="6BA3B847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4F25548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6层6站6门:额定载荷:1600kg;额定速度:1.75ms;控制方式:梯群控制:</w:t>
            </w:r>
          </w:p>
        </w:tc>
        <w:tc>
          <w:tcPr>
            <w:tcW w:w="1442" w:type="dxa"/>
            <w:vAlign w:val="center"/>
          </w:tcPr>
          <w:p w14:paraId="6B4DC1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2E9B10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34" w:type="dxa"/>
            <w:vAlign w:val="center"/>
          </w:tcPr>
          <w:p w14:paraId="06DB8D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960" w:type="dxa"/>
            <w:vAlign w:val="center"/>
          </w:tcPr>
          <w:p w14:paraId="667AA340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05E42272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6层6站6门:额定载荷:1600kg;额定速度:1.75ms;控制方式:梯群控制:</w:t>
            </w:r>
          </w:p>
        </w:tc>
        <w:tc>
          <w:tcPr>
            <w:tcW w:w="1442" w:type="dxa"/>
            <w:vAlign w:val="center"/>
          </w:tcPr>
          <w:p w14:paraId="68D0AC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11BFB2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34" w:type="dxa"/>
            <w:vAlign w:val="center"/>
          </w:tcPr>
          <w:p w14:paraId="10B9E9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960" w:type="dxa"/>
            <w:vAlign w:val="center"/>
          </w:tcPr>
          <w:p w14:paraId="3E1A696D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7FA71F64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6层6站6门:额定载荷:1600kg;额定速度:1.75ms;控制方式:梯群控制:</w:t>
            </w:r>
          </w:p>
        </w:tc>
        <w:tc>
          <w:tcPr>
            <w:tcW w:w="1442" w:type="dxa"/>
            <w:vAlign w:val="center"/>
          </w:tcPr>
          <w:p w14:paraId="34E869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43F579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34" w:type="dxa"/>
            <w:vAlign w:val="center"/>
          </w:tcPr>
          <w:p w14:paraId="708331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960" w:type="dxa"/>
            <w:vAlign w:val="center"/>
          </w:tcPr>
          <w:p w14:paraId="5E6F1966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1EE52963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5层5站5门:额定载荷:1600kg;额定速度:1.75ms;控制方式:梯群控制:</w:t>
            </w:r>
          </w:p>
        </w:tc>
        <w:tc>
          <w:tcPr>
            <w:tcW w:w="1442" w:type="dxa"/>
            <w:vAlign w:val="center"/>
          </w:tcPr>
          <w:p w14:paraId="03C91C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2068EE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34" w:type="dxa"/>
            <w:vAlign w:val="center"/>
          </w:tcPr>
          <w:p w14:paraId="124722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960" w:type="dxa"/>
            <w:vAlign w:val="center"/>
          </w:tcPr>
          <w:p w14:paraId="3A0F8EDD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7BB66B1C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4层4站4门;额定载荷:1600kg;额定速度:1.75 ms;控制方式:集选控制</w:t>
            </w:r>
          </w:p>
        </w:tc>
        <w:tc>
          <w:tcPr>
            <w:tcW w:w="1442" w:type="dxa"/>
            <w:vAlign w:val="center"/>
          </w:tcPr>
          <w:p w14:paraId="50C86E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46A771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34" w:type="dxa"/>
            <w:vAlign w:val="center"/>
          </w:tcPr>
          <w:p w14:paraId="05D6A6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960" w:type="dxa"/>
            <w:vAlign w:val="center"/>
          </w:tcPr>
          <w:p w14:paraId="12ED1D81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3374" w:type="dxa"/>
            <w:vAlign w:val="center"/>
          </w:tcPr>
          <w:p w14:paraId="204A3067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2层2站2门;额定载荷:1050kg;额定速度:1.0ms;控制方式:集选控制:</w:t>
            </w:r>
          </w:p>
        </w:tc>
        <w:tc>
          <w:tcPr>
            <w:tcW w:w="1442" w:type="dxa"/>
            <w:vAlign w:val="center"/>
          </w:tcPr>
          <w:p w14:paraId="4BBF9A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</w:tbl>
    <w:p w14:paraId="438A89CF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</w:p>
    <w:p w14:paraId="14CD1FC3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</w:p>
    <w:p w14:paraId="0F237405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</w:p>
    <w:p w14:paraId="05E18BE4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</w:p>
    <w:p w14:paraId="7F8582C0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</w:p>
    <w:p w14:paraId="4F50C81A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</w:p>
    <w:p w14:paraId="0DD88388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</w:p>
    <w:p w14:paraId="3D14BC20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</w:p>
    <w:p w14:paraId="58F3507A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</w:p>
    <w:p w14:paraId="49F8AF4A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</w:p>
    <w:p w14:paraId="0739D53F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</w:p>
    <w:p w14:paraId="35DF9E78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</w:p>
    <w:p w14:paraId="4C3CCA72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</w:p>
    <w:p w14:paraId="3067F359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</w:p>
    <w:p w14:paraId="21623343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</w:p>
    <w:p w14:paraId="3B4F1E2C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</w:p>
    <w:p w14:paraId="3E8928CF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</w:p>
    <w:p w14:paraId="7DED61CE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</w:p>
    <w:p w14:paraId="45D1FD78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</w:p>
    <w:p w14:paraId="5670D78A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</w:p>
    <w:p w14:paraId="63335990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</w:p>
    <w:p w14:paraId="7027DCD6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</w:p>
    <w:p w14:paraId="720633CC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</w:p>
    <w:p w14:paraId="0AF71586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</w:p>
    <w:p w14:paraId="7001ED79"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报价单</w:t>
      </w:r>
    </w:p>
    <w:p w14:paraId="7D65D782"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</w:p>
    <w:p w14:paraId="1EB77436">
      <w:pPr>
        <w:numPr>
          <w:ilvl w:val="0"/>
          <w:numId w:val="0"/>
        </w:numPr>
        <w:snapToGrid w:val="0"/>
        <w:spacing w:line="360" w:lineRule="auto"/>
        <w:ind w:leftChars="0"/>
        <w:jc w:val="center"/>
        <w:rPr>
          <w:rFonts w:hint="default"/>
          <w:b/>
          <w:bCs/>
          <w:spacing w:val="-10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龙湾院区电梯年检及125%额定载重制动试验服务报价单</w:t>
      </w:r>
    </w:p>
    <w:tbl>
      <w:tblPr>
        <w:tblStyle w:val="7"/>
        <w:tblpPr w:leftFromText="180" w:rightFromText="180" w:vertAnchor="text" w:horzAnchor="page" w:tblpXSpec="center" w:tblpY="547"/>
        <w:tblOverlap w:val="never"/>
        <w:tblW w:w="9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3"/>
        <w:gridCol w:w="838"/>
        <w:gridCol w:w="987"/>
        <w:gridCol w:w="1778"/>
        <w:gridCol w:w="1529"/>
        <w:gridCol w:w="1529"/>
      </w:tblGrid>
      <w:tr w14:paraId="46365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163" w:type="dxa"/>
            <w:vAlign w:val="center"/>
          </w:tcPr>
          <w:p w14:paraId="6795770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838" w:type="dxa"/>
            <w:vAlign w:val="center"/>
          </w:tcPr>
          <w:p w14:paraId="29ACE71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987" w:type="dxa"/>
            <w:vAlign w:val="center"/>
          </w:tcPr>
          <w:p w14:paraId="4116558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778" w:type="dxa"/>
            <w:vAlign w:val="center"/>
          </w:tcPr>
          <w:p w14:paraId="260587F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529" w:type="dxa"/>
            <w:vAlign w:val="center"/>
          </w:tcPr>
          <w:p w14:paraId="1C7D590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1529" w:type="dxa"/>
            <w:vAlign w:val="center"/>
          </w:tcPr>
          <w:p w14:paraId="04CC9EA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267E2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163" w:type="dxa"/>
            <w:vAlign w:val="center"/>
          </w:tcPr>
          <w:p w14:paraId="335D572A"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龙湾院区电梯年检及125%额定载重制动试验服务</w:t>
            </w:r>
          </w:p>
        </w:tc>
        <w:tc>
          <w:tcPr>
            <w:tcW w:w="838" w:type="dxa"/>
            <w:vAlign w:val="center"/>
          </w:tcPr>
          <w:p w14:paraId="1F99B93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987" w:type="dxa"/>
            <w:vAlign w:val="center"/>
          </w:tcPr>
          <w:p w14:paraId="33D47FE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778" w:type="dxa"/>
            <w:vAlign w:val="center"/>
          </w:tcPr>
          <w:p w14:paraId="6F5A662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 w14:paraId="0542C0D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 w14:paraId="2CAB5A6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54台电梯年检及17台125%额定载重制动试验</w:t>
            </w:r>
          </w:p>
        </w:tc>
      </w:tr>
      <w:tr w14:paraId="6054B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163" w:type="dxa"/>
            <w:vAlign w:val="center"/>
          </w:tcPr>
          <w:p w14:paraId="75FD17E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大写金额：</w:t>
            </w:r>
          </w:p>
        </w:tc>
        <w:tc>
          <w:tcPr>
            <w:tcW w:w="5132" w:type="dxa"/>
            <w:gridSpan w:val="4"/>
            <w:vAlign w:val="center"/>
          </w:tcPr>
          <w:p w14:paraId="5D848B5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 w14:paraId="05C5B5F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0F206200"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bCs/>
          <w:sz w:val="24"/>
          <w:lang w:val="en-US" w:eastAsia="zh-CN"/>
        </w:rPr>
      </w:pPr>
    </w:p>
    <w:p w14:paraId="5AC79C56"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bCs/>
          <w:sz w:val="24"/>
          <w:lang w:val="en-US" w:eastAsia="zh-CN"/>
        </w:rPr>
      </w:pPr>
    </w:p>
    <w:p w14:paraId="36384C6F"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说明1：上述报价包含检验费、人工费、相关辅材、运输费、税费、售后等完成本项目所需的所有费用。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如小写与大写的金额不一致以大写金额为准。 </w:t>
      </w:r>
    </w:p>
    <w:p w14:paraId="113737E1"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说明2：投标人已仔细研究了龙湾院区电梯年检及125%额定载重制动试验服务项目的情况说明，已充分理解并掌握了本询价项目的全部有关情况。同意接受并响应询价文件的全部内容和条件。</w:t>
      </w:r>
    </w:p>
    <w:p w14:paraId="6D257FE3"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▲说明3：报价总价不得高于47000元预算价。</w:t>
      </w:r>
      <w:bookmarkStart w:id="0" w:name="_GoBack"/>
      <w:bookmarkEnd w:id="0"/>
    </w:p>
    <w:p w14:paraId="40645FEF">
      <w:pPr>
        <w:pStyle w:val="3"/>
        <w:spacing w:before="82" w:line="240" w:lineRule="auto"/>
        <w:ind w:firstLine="4600" w:firstLineChars="2000"/>
        <w:rPr>
          <w:spacing w:val="-5"/>
          <w:sz w:val="24"/>
          <w:szCs w:val="24"/>
        </w:rPr>
      </w:pPr>
    </w:p>
    <w:p w14:paraId="1DF2B208">
      <w:pPr>
        <w:pStyle w:val="3"/>
        <w:spacing w:before="82" w:line="240" w:lineRule="auto"/>
        <w:ind w:firstLine="4600" w:firstLineChars="2000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联</w:t>
      </w:r>
      <w:r>
        <w:rPr>
          <w:rFonts w:hint="eastAsia"/>
          <w:spacing w:val="-5"/>
          <w:sz w:val="24"/>
          <w:szCs w:val="24"/>
          <w:lang w:val="en-US" w:eastAsia="zh-CN"/>
        </w:rPr>
        <w:t xml:space="preserve">   </w:t>
      </w:r>
      <w:r>
        <w:rPr>
          <w:spacing w:val="-5"/>
          <w:sz w:val="24"/>
          <w:szCs w:val="24"/>
        </w:rPr>
        <w:t>系</w:t>
      </w:r>
      <w:r>
        <w:rPr>
          <w:rFonts w:hint="eastAsia"/>
          <w:spacing w:val="-5"/>
          <w:sz w:val="24"/>
          <w:szCs w:val="24"/>
          <w:lang w:val="en-US" w:eastAsia="zh-CN"/>
        </w:rPr>
        <w:t xml:space="preserve">   </w:t>
      </w:r>
      <w:r>
        <w:rPr>
          <w:spacing w:val="-5"/>
          <w:sz w:val="24"/>
          <w:szCs w:val="24"/>
        </w:rPr>
        <w:t>人</w:t>
      </w:r>
      <w:r>
        <w:rPr>
          <w:rFonts w:hint="eastAsia"/>
          <w:spacing w:val="-5"/>
          <w:sz w:val="24"/>
          <w:szCs w:val="24"/>
          <w:lang w:val="en-US" w:eastAsia="zh-CN"/>
        </w:rPr>
        <w:t xml:space="preserve"> </w:t>
      </w:r>
      <w:r>
        <w:rPr>
          <w:spacing w:val="-5"/>
          <w:sz w:val="24"/>
          <w:szCs w:val="24"/>
        </w:rPr>
        <w:t>：</w:t>
      </w:r>
    </w:p>
    <w:p w14:paraId="106866DD">
      <w:pPr>
        <w:pStyle w:val="3"/>
        <w:spacing w:before="82" w:line="240" w:lineRule="auto"/>
        <w:ind w:left="4125" w:firstLine="460" w:firstLineChars="200"/>
        <w:rPr>
          <w:rFonts w:hint="eastAsia"/>
          <w:spacing w:val="-5"/>
          <w:sz w:val="24"/>
          <w:szCs w:val="24"/>
          <w:lang w:val="en-US" w:eastAsia="zh-CN"/>
        </w:rPr>
      </w:pPr>
      <w:r>
        <w:rPr>
          <w:rFonts w:hint="eastAsia"/>
          <w:spacing w:val="-5"/>
          <w:sz w:val="24"/>
          <w:szCs w:val="24"/>
          <w:lang w:val="en-US" w:eastAsia="zh-CN"/>
        </w:rPr>
        <w:t xml:space="preserve">手        机 ： </w:t>
      </w:r>
    </w:p>
    <w:p w14:paraId="4EB06915">
      <w:pPr>
        <w:pStyle w:val="3"/>
        <w:spacing w:before="82" w:line="240" w:lineRule="auto"/>
        <w:ind w:left="4125" w:firstLine="440" w:firstLineChars="20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单位</w:t>
      </w:r>
      <w:r>
        <w:rPr>
          <w:rFonts w:hint="eastAsia"/>
          <w:spacing w:val="-10"/>
          <w:sz w:val="24"/>
          <w:szCs w:val="24"/>
          <w:lang w:val="en-US" w:eastAsia="zh-CN"/>
        </w:rPr>
        <w:t xml:space="preserve">  </w:t>
      </w:r>
      <w:r>
        <w:rPr>
          <w:rFonts w:hint="eastAsia"/>
          <w:spacing w:val="-10"/>
          <w:sz w:val="24"/>
          <w:szCs w:val="24"/>
          <w:lang w:eastAsia="zh-CN"/>
        </w:rPr>
        <w:t>（</w:t>
      </w:r>
      <w:r>
        <w:rPr>
          <w:rFonts w:hint="eastAsia"/>
          <w:spacing w:val="-10"/>
          <w:sz w:val="24"/>
          <w:szCs w:val="24"/>
          <w:lang w:val="en-US" w:eastAsia="zh-CN"/>
        </w:rPr>
        <w:t>盖章</w:t>
      </w:r>
      <w:r>
        <w:rPr>
          <w:rFonts w:hint="eastAsia"/>
          <w:spacing w:val="-10"/>
          <w:sz w:val="24"/>
          <w:szCs w:val="24"/>
          <w:lang w:eastAsia="zh-CN"/>
        </w:rPr>
        <w:t>）</w:t>
      </w:r>
      <w:r>
        <w:rPr>
          <w:spacing w:val="-10"/>
          <w:sz w:val="24"/>
          <w:szCs w:val="24"/>
        </w:rPr>
        <w:t>：</w:t>
      </w:r>
    </w:p>
    <w:p w14:paraId="09C89939">
      <w:pPr>
        <w:pStyle w:val="3"/>
        <w:spacing w:before="82" w:line="240" w:lineRule="auto"/>
        <w:ind w:left="4125" w:firstLine="440" w:firstLineChars="200"/>
        <w:rPr>
          <w:sz w:val="32"/>
          <w:szCs w:val="32"/>
        </w:rPr>
      </w:pPr>
      <w:r>
        <w:rPr>
          <w:rFonts w:hint="eastAsia"/>
          <w:spacing w:val="-10"/>
          <w:sz w:val="24"/>
          <w:szCs w:val="24"/>
          <w:lang w:val="en-US" w:eastAsia="zh-CN"/>
        </w:rPr>
        <w:t>时          间 ：</w:t>
      </w:r>
    </w:p>
    <w:p w14:paraId="24718A3B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CF7D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B22E43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B22E43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F4C39"/>
    <w:multiLevelType w:val="singleLevel"/>
    <w:tmpl w:val="CF7F4C3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476D7AA"/>
    <w:multiLevelType w:val="singleLevel"/>
    <w:tmpl w:val="D476D7A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3918200"/>
    <w:multiLevelType w:val="singleLevel"/>
    <w:tmpl w:val="5391820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4EFC236"/>
    <w:multiLevelType w:val="singleLevel"/>
    <w:tmpl w:val="74EFC23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NTljMGEzMWU4ODU3Yjk5NGZkNWM4NTAwMmJmMDIifQ=="/>
  </w:docVars>
  <w:rsids>
    <w:rsidRoot w:val="708D5B7B"/>
    <w:rsid w:val="09076F07"/>
    <w:rsid w:val="13426A72"/>
    <w:rsid w:val="17AF722F"/>
    <w:rsid w:val="1A04290B"/>
    <w:rsid w:val="1F455F25"/>
    <w:rsid w:val="244514B2"/>
    <w:rsid w:val="24881BDE"/>
    <w:rsid w:val="30DB5C6A"/>
    <w:rsid w:val="3EA42E21"/>
    <w:rsid w:val="53005A35"/>
    <w:rsid w:val="56BC4D54"/>
    <w:rsid w:val="56C21BD9"/>
    <w:rsid w:val="5E2110AE"/>
    <w:rsid w:val="64C33752"/>
    <w:rsid w:val="708D5B7B"/>
    <w:rsid w:val="72D0599B"/>
    <w:rsid w:val="730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1253</Words>
  <Characters>1313</Characters>
  <Lines>0</Lines>
  <Paragraphs>0</Paragraphs>
  <TotalTime>1</TotalTime>
  <ScaleCrop>false</ScaleCrop>
  <LinksUpToDate>false</LinksUpToDate>
  <CharactersWithSpaces>1349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2024-09-26T07:58:00Z</dcterms:created>
  <dc:creator>胡</dc:creator>
  <cp:lastModifiedBy>郑听</cp:lastModifiedBy>
  <dcterms:modified xsi:type="dcterms:W3CDTF">2025-05-13T01:21:58Z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143082B0B1FE4C67A486D9D6BDBC9A62_13</vt:lpwstr>
  </property>
  <property fmtid="{D5CDD505-2E9C-101B-9397-08002B2CF9AE}" pid="4" name="KSOTemplateDocerSaveRecord">
    <vt:lpwstr>eyJoZGlkIjoiZTg4NTAxZGUyM2E2ZjBjZGUyZWI1NDFlN2U2ODlmOGIiLCJ1c2VySWQiOiI2MDA5Nzg1OTIifQ==</vt:lpwstr>
  </property>
</Properties>
</file>