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rPr>
          <w:rFonts w:hint="eastAsia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智能快递柜投放服务</w:t>
      </w:r>
      <w:r>
        <w:rPr>
          <w:rFonts w:hint="eastAsia" w:ascii="宋体" w:hAnsi="宋体" w:eastAsia="宋体" w:cs="宋体"/>
          <w:color w:val="auto"/>
        </w:rPr>
        <w:t>采购内容及需求</w:t>
      </w:r>
    </w:p>
    <w:p>
      <w:pPr>
        <w:pStyle w:val="4"/>
        <w:spacing w:line="360" w:lineRule="auto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一、</w:t>
      </w:r>
      <w:r>
        <w:rPr>
          <w:rFonts w:hint="eastAsia" w:ascii="宋体" w:hAnsi="宋体"/>
          <w:lang w:val="en-US" w:eastAsia="zh-CN"/>
        </w:rPr>
        <w:t>项目</w:t>
      </w:r>
      <w:r>
        <w:rPr>
          <w:rFonts w:hint="eastAsia" w:ascii="宋体" w:hAnsi="宋体"/>
        </w:rPr>
        <w:t>概述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bCs/>
          <w:szCs w:val="21"/>
          <w:shd w:val="clear" w:color="auto" w:fill="FFFFFF"/>
        </w:rPr>
        <w:t>本次招标项目位于</w:t>
      </w:r>
      <w:r>
        <w:rPr>
          <w:rFonts w:hint="eastAsia" w:ascii="宋体" w:hAnsi="宋体" w:cs="宋体"/>
          <w:szCs w:val="21"/>
        </w:rPr>
        <w:t>温州医科大学附属第二医院</w:t>
      </w:r>
      <w:r>
        <w:rPr>
          <w:rFonts w:hint="eastAsia" w:ascii="宋体" w:hAnsi="宋体" w:cs="宋体"/>
          <w:szCs w:val="21"/>
          <w:lang w:val="en-US" w:eastAsia="zh-CN"/>
        </w:rPr>
        <w:t>鹿城院区（学院西路109号和划龙桥路）、</w:t>
      </w:r>
      <w:r>
        <w:rPr>
          <w:rFonts w:hint="eastAsia" w:ascii="宋体" w:hAnsi="宋体" w:cs="宋体"/>
          <w:szCs w:val="21"/>
        </w:rPr>
        <w:t>温州医科大学附属第二医院龙湾院区（温州大道东段1111号）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、</w:t>
      </w:r>
      <w:r>
        <w:rPr>
          <w:rFonts w:hint="eastAsia" w:ascii="宋体" w:hAnsi="宋体" w:cs="宋体"/>
          <w:szCs w:val="21"/>
        </w:rPr>
        <w:t>温州医科大学附属第二医院康复院区（温州大道东段188号）</w:t>
      </w:r>
      <w:r>
        <w:rPr>
          <w:rFonts w:hint="eastAsia" w:ascii="宋体" w:hAnsi="宋体" w:cs="宋体"/>
          <w:szCs w:val="21"/>
          <w:shd w:val="clear" w:color="auto" w:fill="FFFFFF"/>
        </w:rPr>
        <w:t>、</w:t>
      </w:r>
      <w:r>
        <w:rPr>
          <w:rFonts w:hint="eastAsia" w:ascii="宋体" w:hAnsi="宋体" w:cs="宋体"/>
          <w:szCs w:val="21"/>
        </w:rPr>
        <w:t>温州医科大学附属第二医院瓯江口院区（瓯石路666号）</w:t>
      </w:r>
      <w:r>
        <w:rPr>
          <w:rFonts w:hint="eastAsia" w:ascii="宋体" w:hAnsi="宋体" w:cs="宋体"/>
          <w:szCs w:val="21"/>
          <w:shd w:val="clear" w:color="auto" w:fill="FFFFFF"/>
        </w:rPr>
        <w:t>，各大院区内，位置待中标后协商。</w:t>
      </w:r>
    </w:p>
    <w:p>
      <w:pPr>
        <w:spacing w:line="360" w:lineRule="auto"/>
        <w:ind w:firstLine="403" w:firstLineChars="192"/>
        <w:jc w:val="left"/>
      </w:pPr>
      <w:r>
        <w:rPr>
          <w:rFonts w:hint="eastAsia" w:ascii="宋体" w:hAnsi="宋体" w:cs="宋体"/>
          <w:szCs w:val="21"/>
          <w:lang w:val="en-US" w:eastAsia="zh-CN"/>
        </w:rPr>
        <w:t>智能快递柜</w:t>
      </w:r>
      <w:r>
        <w:rPr>
          <w:rFonts w:hint="eastAsia" w:ascii="宋体" w:hAnsi="宋体" w:cs="宋体"/>
          <w:bCs/>
          <w:color w:val="000000"/>
          <w:szCs w:val="21"/>
        </w:rPr>
        <w:t>摆放位置按医院要求进行调整摆放，现医院摆放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5组</w:t>
      </w:r>
      <w:r>
        <w:rPr>
          <w:rFonts w:hint="eastAsia" w:ascii="宋体" w:hAnsi="宋体" w:cs="宋体"/>
          <w:bCs/>
          <w:color w:val="000000"/>
          <w:szCs w:val="21"/>
        </w:rPr>
        <w:t>。</w:t>
      </w:r>
    </w:p>
    <w:tbl>
      <w:tblPr>
        <w:tblStyle w:val="9"/>
        <w:tblW w:w="0" w:type="auto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65"/>
        <w:gridCol w:w="1148"/>
        <w:gridCol w:w="1985"/>
        <w:gridCol w:w="159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项目名称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服务期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服务地点</w:t>
            </w:r>
          </w:p>
        </w:tc>
        <w:tc>
          <w:tcPr>
            <w:tcW w:w="15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/>
                <w:b/>
                <w:szCs w:val="21"/>
              </w:rPr>
              <w:t>综合管理费（元）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智能快递柜投放</w:t>
            </w:r>
            <w:r>
              <w:rPr>
                <w:rFonts w:hint="eastAsia" w:ascii="宋体" w:hAnsi="宋体"/>
                <w:szCs w:val="21"/>
              </w:rPr>
              <w:t>服务管理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鹿城院区（学院路分部、南浦分部、龙湾院区（含康复中心）、瓯江口院区）</w:t>
            </w:r>
          </w:p>
        </w:tc>
        <w:tc>
          <w:tcPr>
            <w:tcW w:w="15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2050 </w:t>
            </w:r>
            <w:r>
              <w:rPr>
                <w:rFonts w:hint="eastAsia" w:ascii="宋体" w:hAnsi="宋体"/>
                <w:szCs w:val="21"/>
                <w:highlight w:val="none"/>
              </w:rPr>
              <w:t>元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说明：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</w:rPr>
              <w:t>、共需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智能快递柜，单组快递柜不大于3㎡，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快递柜参考尺寸：长约6米，宽约0.5米，高约2.1米。报价人自行勘察现场，综合考虑报价。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其中暂定龙湾院区2组，鹿城院区2组，瓯江口1组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具体摆放位置</w:t>
            </w:r>
            <w:r>
              <w:rPr>
                <w:rFonts w:hint="eastAsia" w:ascii="宋体" w:hAnsi="宋体"/>
                <w:szCs w:val="21"/>
              </w:rPr>
              <w:t>根据实际情况且经采购方审批同意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后放置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后续若有新增数量，经采购方同意后按协议期内剩余天数先行支付年费，并签署补充协议）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2、中标人需向采购方支付综合管理费，合同签订生效之日起10个工作日内向甲方一次性支付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首年综合管理费</w:t>
            </w:r>
            <w:r>
              <w:rPr>
                <w:rFonts w:hint="eastAsia" w:ascii="宋体" w:hAnsi="宋体"/>
                <w:szCs w:val="21"/>
              </w:rPr>
              <w:t>。年综合管理费底价为人民币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2050</w:t>
            </w: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  <w:lang w:val="en-US" w:eastAsia="zh-CN"/>
              </w:rPr>
              <w:t>即每组每年最低管理费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shd w:val="clear" w:color="auto" w:fill="FFFFFF"/>
                <w:lang w:val="en-US" w:eastAsia="zh-CN"/>
              </w:rPr>
              <w:t>410</w:t>
            </w: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  <w:lang w:val="en-US" w:eastAsia="zh-CN"/>
              </w:rPr>
              <w:t>元。</w:t>
            </w:r>
            <w:r>
              <w:rPr>
                <w:rFonts w:hint="eastAsia" w:ascii="宋体" w:hAnsi="宋体"/>
                <w:szCs w:val="21"/>
              </w:rPr>
              <w:t>之后的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管理费</w:t>
            </w:r>
            <w:r>
              <w:rPr>
                <w:rFonts w:hint="eastAsia" w:ascii="宋体" w:hAnsi="宋体"/>
                <w:szCs w:val="21"/>
              </w:rPr>
              <w:t>在新一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年服务期</w:t>
            </w:r>
            <w:r>
              <w:rPr>
                <w:rFonts w:hint="eastAsia" w:ascii="宋体" w:hAnsi="宋体"/>
                <w:szCs w:val="21"/>
              </w:rPr>
              <w:t>开始前的一个月内缴纳。</w:t>
            </w:r>
          </w:p>
        </w:tc>
      </w:tr>
    </w:tbl>
    <w:p>
      <w:pPr>
        <w:spacing w:line="360" w:lineRule="exact"/>
        <w:rPr>
          <w:rFonts w:ascii="宋体" w:hAnsi="宋体"/>
          <w:b/>
          <w:kern w:val="28"/>
          <w:szCs w:val="21"/>
        </w:rPr>
      </w:pPr>
      <w:r>
        <w:rPr>
          <w:rFonts w:hint="eastAsia" w:ascii="宋体" w:hAnsi="宋体"/>
          <w:b/>
          <w:kern w:val="28"/>
          <w:szCs w:val="21"/>
        </w:rPr>
        <w:t>一、投标人的资格要求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（1）具有独立承担民事责任的能力；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（2）具有良好的商业信誉和健全的财务会计制度；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（3）具有履行合同所必需的设备和专业技术能力；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（4）有依法缴纳税收和社会保障资金的良好记录；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（5）前三年内，在经营活动中没有重大违法记录；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（6）法律、行政法规规定的其他条件。</w:t>
      </w:r>
    </w:p>
    <w:p>
      <w:pPr>
        <w:spacing w:line="36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二</w:t>
      </w:r>
      <w:r>
        <w:rPr>
          <w:rFonts w:hint="eastAsia" w:ascii="宋体" w:hAnsi="宋体"/>
          <w:b/>
          <w:szCs w:val="21"/>
        </w:rPr>
        <w:t>、项目</w:t>
      </w:r>
      <w:r>
        <w:rPr>
          <w:rFonts w:ascii="宋体" w:hAnsi="宋体"/>
          <w:b/>
          <w:szCs w:val="21"/>
        </w:rPr>
        <w:t>服务范围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医院院区范围内（请投标人在投标前务必对拟投放</w:t>
      </w:r>
      <w:r>
        <w:rPr>
          <w:rFonts w:hint="eastAsia" w:ascii="宋体" w:hAnsi="宋体" w:cs="宋体"/>
          <w:szCs w:val="21"/>
          <w:lang w:val="en-US" w:eastAsia="zh-CN"/>
        </w:rPr>
        <w:t>智能快递柜</w:t>
      </w:r>
      <w:r>
        <w:rPr>
          <w:rFonts w:hint="eastAsia" w:ascii="宋体" w:hAnsi="宋体" w:cs="宋体"/>
          <w:szCs w:val="21"/>
        </w:rPr>
        <w:t>的周围环境、现状等进行现场勘查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  <w:lang w:val="en-US" w:eastAsia="zh-CN"/>
        </w:rPr>
        <w:t>采购方不组织统一勘察</w:t>
      </w:r>
      <w:r>
        <w:rPr>
          <w:rFonts w:hint="eastAsia" w:ascii="宋体" w:hAnsi="宋体" w:cs="宋体"/>
          <w:szCs w:val="21"/>
        </w:rPr>
        <w:t>）。</w:t>
      </w:r>
    </w:p>
    <w:p>
      <w:pPr>
        <w:pStyle w:val="4"/>
        <w:spacing w:line="360" w:lineRule="auto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三</w:t>
      </w:r>
      <w:r>
        <w:rPr>
          <w:rFonts w:ascii="宋体" w:hAnsi="宋体"/>
        </w:rPr>
        <w:t>、商务条款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  <w:bCs/>
          <w:szCs w:val="21"/>
          <w:shd w:val="clear" w:color="auto" w:fill="FFFFFF"/>
        </w:rPr>
        <w:t>（一）报价要求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color w:val="FF0000"/>
          <w:szCs w:val="21"/>
          <w:shd w:val="clear" w:color="auto" w:fill="FFFFFF"/>
        </w:rPr>
      </w:pPr>
      <w:r>
        <w:rPr>
          <w:rFonts w:hint="eastAsia" w:ascii="宋体" w:hAnsi="宋体" w:cs="宋体"/>
        </w:rPr>
        <w:t>▲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1.本项目投标报价为中标人向采购人支付的三年的</w:t>
      </w:r>
      <w:r>
        <w:rPr>
          <w:rFonts w:hint="eastAsia" w:ascii="宋体" w:hAnsi="宋体" w:cs="宋体"/>
          <w:bCs/>
          <w:szCs w:val="21"/>
          <w:shd w:val="clear" w:color="auto" w:fill="FFFFFF"/>
          <w:lang w:val="en-US" w:eastAsia="zh-CN"/>
        </w:rPr>
        <w:t>综合服务管理费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总费用，并提供分项报价</w:t>
      </w:r>
      <w:r>
        <w:rPr>
          <w:rFonts w:hint="eastAsia" w:ascii="宋体" w:hAnsi="宋体" w:cs="宋体"/>
          <w:bCs/>
          <w:color w:val="FF0000"/>
          <w:szCs w:val="21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bCs/>
          <w:color w:val="FF0000"/>
          <w:szCs w:val="21"/>
          <w:shd w:val="clear" w:color="auto" w:fill="FFFFFF"/>
          <w:lang w:val="en-US" w:eastAsia="zh-CN"/>
        </w:rPr>
        <w:t>每年的单价需完全一致</w:t>
      </w:r>
      <w:r>
        <w:rPr>
          <w:rFonts w:hint="eastAsia" w:ascii="宋体" w:hAnsi="宋体" w:cs="宋体"/>
          <w:bCs/>
          <w:color w:val="FF0000"/>
          <w:szCs w:val="21"/>
          <w:shd w:val="clear" w:color="auto" w:fill="FFFFFF"/>
        </w:rPr>
        <w:t>。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  <w:bCs/>
          <w:szCs w:val="21"/>
          <w:shd w:val="clear" w:color="auto" w:fill="FFFFFF"/>
        </w:rPr>
        <w:t>2.分项报价要求：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  <w:shd w:val="clear" w:color="auto" w:fill="FFFFFF"/>
          <w:lang w:eastAsia="zh-CN"/>
        </w:rPr>
      </w:pPr>
      <w:r>
        <w:rPr>
          <w:rFonts w:hint="eastAsia" w:ascii="宋体" w:hAnsi="宋体" w:cs="宋体"/>
          <w:bCs/>
          <w:szCs w:val="21"/>
          <w:highlight w:val="none"/>
          <w:shd w:val="clear" w:color="auto" w:fill="FFFFFF"/>
        </w:rPr>
        <w:t>2.1投标人缴纳给招标方的</w:t>
      </w:r>
      <w:r>
        <w:rPr>
          <w:rFonts w:hint="eastAsia" w:ascii="宋体" w:hAnsi="宋体" w:cs="宋体"/>
          <w:bCs/>
          <w:szCs w:val="21"/>
          <w:highlight w:val="none"/>
          <w:shd w:val="clear" w:color="auto" w:fill="FFFFFF"/>
          <w:lang w:val="en-US" w:eastAsia="zh-CN"/>
        </w:rPr>
        <w:t>每台</w:t>
      </w:r>
      <w:r>
        <w:rPr>
          <w:rFonts w:hint="eastAsia" w:ascii="宋体" w:hAnsi="宋体" w:cs="宋体"/>
          <w:bCs/>
          <w:szCs w:val="21"/>
          <w:highlight w:val="none"/>
          <w:shd w:val="clear" w:color="auto" w:fill="FFFFFF"/>
        </w:rPr>
        <w:t>每年</w:t>
      </w:r>
      <w:r>
        <w:rPr>
          <w:rFonts w:hint="eastAsia" w:ascii="宋体" w:hAnsi="宋体" w:cs="宋体"/>
          <w:bCs/>
          <w:szCs w:val="21"/>
          <w:highlight w:val="none"/>
          <w:shd w:val="clear" w:color="auto" w:fill="FFFFFF"/>
          <w:lang w:val="en-US" w:eastAsia="zh-CN"/>
        </w:rPr>
        <w:t>管</w:t>
      </w:r>
      <w:r>
        <w:rPr>
          <w:rFonts w:hint="eastAsia" w:ascii="宋体" w:hAnsi="宋体" w:cs="宋体"/>
          <w:bCs/>
          <w:szCs w:val="21"/>
          <w:shd w:val="clear" w:color="auto" w:fill="FFFFFF"/>
          <w:lang w:val="en-US" w:eastAsia="zh-CN"/>
        </w:rPr>
        <w:t>理费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报价（含电费），</w:t>
      </w:r>
      <w:r>
        <w:rPr>
          <w:rFonts w:hint="eastAsia" w:ascii="宋体" w:hAnsi="宋体" w:cs="宋体"/>
          <w:bCs/>
          <w:szCs w:val="21"/>
          <w:u w:val="single"/>
          <w:shd w:val="clear" w:color="auto" w:fill="FFFFFF"/>
        </w:rPr>
        <w:t xml:space="preserve">      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元/</w:t>
      </w:r>
      <w:r>
        <w:rPr>
          <w:rFonts w:hint="eastAsia" w:ascii="宋体" w:hAnsi="宋体" w:cs="宋体"/>
          <w:bCs/>
          <w:szCs w:val="21"/>
          <w:shd w:val="clear" w:color="auto" w:fill="FFFFFF"/>
          <w:lang w:val="en-US" w:eastAsia="zh-CN"/>
        </w:rPr>
        <w:t>组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/年</w:t>
      </w:r>
      <w:r>
        <w:rPr>
          <w:rFonts w:hint="eastAsia" w:ascii="宋体" w:hAnsi="宋体" w:cs="宋体"/>
          <w:bCs/>
          <w:szCs w:val="21"/>
          <w:shd w:val="clear" w:color="auto" w:fill="FFFFFF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▲投标人报价充分考虑新冠疫情防控，装修安装、</w:t>
      </w:r>
      <w:r>
        <w:rPr>
          <w:rFonts w:hint="eastAsia" w:ascii="微软雅黑" w:hAnsi="微软雅黑" w:cs="微软雅黑"/>
          <w:color w:val="000000"/>
          <w:kern w:val="0"/>
          <w:szCs w:val="22"/>
          <w:highlight w:val="none"/>
          <w:lang w:bidi="ar"/>
        </w:rPr>
        <w:t>工商注册登记所需的时间等因素。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  <w:bCs/>
          <w:szCs w:val="21"/>
          <w:shd w:val="clear" w:color="auto" w:fill="FFFFFF"/>
        </w:rPr>
        <w:t>（二）</w:t>
      </w:r>
      <w:r>
        <w:rPr>
          <w:rFonts w:hint="eastAsia" w:ascii="宋体" w:hAnsi="宋体" w:cs="宋体"/>
          <w:bCs/>
          <w:szCs w:val="21"/>
          <w:shd w:val="clear" w:color="auto" w:fill="FFFFFF"/>
          <w:lang w:val="en-US" w:eastAsia="zh-CN"/>
        </w:rPr>
        <w:t>服务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期限及</w:t>
      </w:r>
      <w:r>
        <w:rPr>
          <w:rFonts w:hint="eastAsia" w:ascii="宋体" w:hAnsi="宋体" w:cs="宋体"/>
          <w:bCs/>
          <w:szCs w:val="21"/>
          <w:shd w:val="clear" w:color="auto" w:fill="FFFFFF"/>
          <w:lang w:val="en-US" w:eastAsia="zh-CN"/>
        </w:rPr>
        <w:t>管理费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交付：</w:t>
      </w:r>
    </w:p>
    <w:p>
      <w:pPr>
        <w:spacing w:line="360" w:lineRule="auto"/>
        <w:ind w:firstLine="420" w:firstLineChars="200"/>
        <w:rPr>
          <w:rFonts w:hint="default" w:ascii="宋体" w:hAnsi="宋体" w:eastAsia="宋体" w:cs="宋体"/>
          <w:bCs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</w:rPr>
        <w:t>▲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1.本项目每年最低</w:t>
      </w:r>
      <w:r>
        <w:rPr>
          <w:rFonts w:hint="eastAsia" w:ascii="宋体" w:hAnsi="宋体" w:cs="宋体"/>
          <w:bCs/>
          <w:szCs w:val="21"/>
          <w:shd w:val="clear" w:color="auto" w:fill="FFFFFF"/>
          <w:lang w:val="en-US" w:eastAsia="zh-CN"/>
        </w:rPr>
        <w:t>综合管理费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为人民币</w:t>
      </w:r>
      <w:r>
        <w:rPr>
          <w:rFonts w:hint="eastAsia" w:ascii="宋体" w:hAnsi="宋体" w:cs="宋体"/>
          <w:bCs/>
          <w:szCs w:val="21"/>
          <w:u w:val="single"/>
          <w:shd w:val="clear" w:color="auto" w:fill="FFFFFF"/>
          <w:lang w:val="en-US" w:eastAsia="zh-CN"/>
        </w:rPr>
        <w:t>2050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元</w:t>
      </w:r>
      <w:r>
        <w:rPr>
          <w:rFonts w:hint="eastAsia" w:ascii="宋体" w:hAnsi="宋体" w:cs="宋体"/>
          <w:bCs/>
          <w:szCs w:val="21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bCs/>
          <w:szCs w:val="21"/>
          <w:shd w:val="clear" w:color="auto" w:fill="FFFFFF"/>
          <w:lang w:val="en-US" w:eastAsia="zh-CN"/>
        </w:rPr>
        <w:t>即每台每年最低管理费</w:t>
      </w:r>
      <w:r>
        <w:rPr>
          <w:rFonts w:hint="eastAsia" w:ascii="宋体" w:hAnsi="宋体" w:cs="宋体"/>
          <w:bCs/>
          <w:szCs w:val="21"/>
          <w:u w:val="single"/>
          <w:shd w:val="clear" w:color="auto" w:fill="FFFFFF"/>
          <w:lang w:val="en-US" w:eastAsia="zh-CN"/>
        </w:rPr>
        <w:t>410</w:t>
      </w:r>
      <w:r>
        <w:rPr>
          <w:rFonts w:hint="eastAsia" w:ascii="宋体" w:hAnsi="宋体" w:cs="宋体"/>
          <w:bCs/>
          <w:szCs w:val="21"/>
          <w:shd w:val="clear" w:color="auto" w:fill="FFFFFF"/>
          <w:lang w:val="en-US" w:eastAsia="zh-CN"/>
        </w:rPr>
        <w:t>元。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</w:rPr>
        <w:t>▲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2.本项目</w:t>
      </w:r>
      <w:r>
        <w:rPr>
          <w:rFonts w:hint="eastAsia" w:ascii="宋体" w:hAnsi="宋体" w:cs="宋体"/>
          <w:bCs/>
          <w:szCs w:val="21"/>
          <w:shd w:val="clear" w:color="auto" w:fill="FFFFFF"/>
          <w:lang w:val="en-US" w:eastAsia="zh-CN"/>
        </w:rPr>
        <w:t>服务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期限：自合同签订之日起三年。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</w:rPr>
        <w:t>▲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3.</w:t>
      </w:r>
      <w:r>
        <w:rPr>
          <w:rFonts w:hint="eastAsia" w:ascii="宋体" w:hAnsi="宋体" w:cs="宋体"/>
          <w:bCs/>
          <w:szCs w:val="21"/>
          <w:shd w:val="clear" w:color="auto" w:fill="FFFFFF"/>
          <w:lang w:val="en-US" w:eastAsia="zh-CN"/>
        </w:rPr>
        <w:t>管理费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交付方式：按照先缴后用的原则，每年一付。首期</w:t>
      </w:r>
      <w:r>
        <w:rPr>
          <w:rFonts w:hint="eastAsia" w:ascii="宋体" w:hAnsi="宋体" w:cs="宋体"/>
          <w:bCs/>
          <w:szCs w:val="21"/>
          <w:shd w:val="clear" w:color="auto" w:fill="FFFFFF"/>
          <w:lang w:val="en-US" w:eastAsia="zh-CN"/>
        </w:rPr>
        <w:t>管理费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在合同签订生效后</w:t>
      </w:r>
      <w:r>
        <w:rPr>
          <w:rFonts w:hint="eastAsia" w:ascii="宋体" w:hAnsi="宋体" w:cs="宋体"/>
          <w:bCs/>
          <w:szCs w:val="21"/>
          <w:shd w:val="clear" w:color="auto" w:fill="FFFFFF"/>
          <w:lang w:val="en-US" w:eastAsia="zh-CN"/>
        </w:rPr>
        <w:t>十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个工作日内缴纳，之后的</w:t>
      </w:r>
      <w:r>
        <w:rPr>
          <w:rFonts w:hint="eastAsia" w:ascii="宋体" w:hAnsi="宋体" w:cs="宋体"/>
          <w:bCs/>
          <w:szCs w:val="21"/>
          <w:shd w:val="clear" w:color="auto" w:fill="FFFFFF"/>
          <w:lang w:val="en-US" w:eastAsia="zh-CN"/>
        </w:rPr>
        <w:t>年管理费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在新一</w:t>
      </w:r>
      <w:r>
        <w:rPr>
          <w:rFonts w:hint="eastAsia" w:ascii="宋体" w:hAnsi="宋体" w:cs="宋体"/>
          <w:bCs/>
          <w:szCs w:val="21"/>
          <w:shd w:val="clear" w:color="auto" w:fill="FFFFFF"/>
          <w:lang w:val="en-US" w:eastAsia="zh-CN"/>
        </w:rPr>
        <w:t>年服务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期开始前的一个月内缴纳。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  <w:bCs/>
          <w:szCs w:val="21"/>
          <w:shd w:val="clear" w:color="auto" w:fill="FFFFFF"/>
        </w:rPr>
        <w:t>（三）其他要求：</w:t>
      </w:r>
    </w:p>
    <w:p>
      <w:pPr>
        <w:spacing w:line="360" w:lineRule="auto"/>
        <w:ind w:firstLine="440" w:firstLineChars="200"/>
        <w:rPr>
          <w:rFonts w:hint="default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1.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智能快递柜对收件人不收取任何暂存费用（含逾期费等），仅对快递员收费或均不收费。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2.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投标方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必须严格按照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指定的经营场地投放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智能快递柜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，守法经营，不得私自改变用途。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智能快递柜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机身不得张贴或发布与经营产品无关的广告。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.要严格执行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医院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安全责任制，遵守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医院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安全防火条例，不得私拉乱接，不得超负荷用电。因供应商违规用电造成灾害的，除自己的损失自行负责外，若给采购人造成损失的，亦由供应商承担，情节严重的采购人有权追究供应商的法律责任。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. 医院提供电源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接口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，中标方负责提供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智能快递柜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，完成安装调试。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7.指派专职人员担任我院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智能快递柜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的主要管理责任人，负责本项目的运营管理及日常检查。须保证设备的正常运行，如有故障，须在接到采购人通知的24小时内解决设备问题。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8.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智能快递柜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需支持当前主流的支付方式（如：支付宝、微信等）。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9.服从医院各项管理制度及工作安排。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服务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期内不得私自转租或转让他人经营。如违约采购人有权没收履约保证金，终止合同。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  <w:bCs/>
          <w:szCs w:val="21"/>
          <w:shd w:val="clear" w:color="auto" w:fill="FFFFFF"/>
        </w:rPr>
        <w:t>（</w:t>
      </w:r>
      <w:r>
        <w:rPr>
          <w:rFonts w:hint="eastAsia" w:ascii="宋体" w:hAnsi="宋体" w:cs="宋体"/>
          <w:bCs/>
          <w:szCs w:val="21"/>
          <w:shd w:val="clear" w:color="auto" w:fill="FFFFFF"/>
          <w:lang w:val="en-US" w:eastAsia="zh-CN"/>
        </w:rPr>
        <w:t>四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）履约保证金：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  <w:bCs/>
          <w:szCs w:val="21"/>
          <w:shd w:val="clear" w:color="auto" w:fill="FFFFFF"/>
        </w:rPr>
        <w:t>1.履约保</w:t>
      </w:r>
      <w:r>
        <w:rPr>
          <w:rFonts w:hint="eastAsia" w:ascii="宋体" w:hAnsi="宋体" w:cs="宋体"/>
          <w:bCs/>
          <w:szCs w:val="21"/>
          <w:highlight w:val="none"/>
          <w:shd w:val="clear" w:color="auto" w:fill="FFFFFF"/>
        </w:rPr>
        <w:t>证金</w:t>
      </w:r>
      <w:r>
        <w:rPr>
          <w:rFonts w:hint="eastAsia" w:cs="宋体"/>
          <w:szCs w:val="21"/>
          <w:highlight w:val="none"/>
        </w:rPr>
        <w:t>（应当以支票、汇票、本票或者金融机构、担保机构出具的保函等非现金形式提交）</w:t>
      </w:r>
      <w:r>
        <w:rPr>
          <w:rFonts w:hint="eastAsia" w:ascii="宋体" w:hAnsi="宋体" w:cs="宋体"/>
          <w:bCs/>
          <w:szCs w:val="21"/>
          <w:highlight w:val="none"/>
          <w:shd w:val="clear" w:color="auto" w:fill="FFFFFF"/>
        </w:rPr>
        <w:t>按合同金额的</w:t>
      </w:r>
      <w:r>
        <w:rPr>
          <w:rFonts w:hint="eastAsia" w:ascii="宋体" w:hAnsi="宋体" w:cs="宋体"/>
          <w:bCs/>
          <w:szCs w:val="21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Cs/>
          <w:szCs w:val="21"/>
          <w:highlight w:val="none"/>
          <w:shd w:val="clear" w:color="auto" w:fill="FFFFFF"/>
        </w:rPr>
        <w:t>%收取，即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履约保证金为人民币</w:t>
      </w:r>
      <w:r>
        <w:rPr>
          <w:rFonts w:hint="eastAsia" w:ascii="宋体" w:hAnsi="宋体" w:cs="宋体"/>
          <w:bCs/>
          <w:szCs w:val="21"/>
          <w:u w:val="single"/>
          <w:shd w:val="clear" w:color="auto" w:fill="FFFFFF"/>
        </w:rPr>
        <w:t xml:space="preserve">         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元整（大写：</w:t>
      </w:r>
      <w:r>
        <w:rPr>
          <w:rFonts w:hint="eastAsia" w:ascii="宋体" w:hAnsi="宋体" w:cs="宋体"/>
          <w:bCs/>
          <w:szCs w:val="21"/>
          <w:u w:val="single"/>
          <w:shd w:val="clear" w:color="auto" w:fill="FFFFFF"/>
        </w:rPr>
        <w:t xml:space="preserve">              </w:t>
      </w:r>
      <w:r>
        <w:rPr>
          <w:rFonts w:hint="eastAsia" w:ascii="宋体" w:hAnsi="宋体" w:cs="宋体"/>
          <w:bCs/>
          <w:szCs w:val="21"/>
          <w:shd w:val="clear" w:color="auto" w:fill="FFFFFF"/>
        </w:rPr>
        <w:t>），签订本合同之前，采购人确认中标人已按招标文件要求向采购人缴纳履约保证金，中标人发生履约责任问题时，采购人有权从履约保证金中予以扣除，履约保证金如发生扣款情况，中标人应在30日内予以补足。履约金在合同终止或解除后的30天内无息退还给中标人（节假日顺延）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  <w:bCs/>
          <w:szCs w:val="21"/>
          <w:shd w:val="clear" w:color="auto" w:fill="FFFFFF"/>
        </w:rPr>
        <w:t>2.有下列情形之一的，履约保证金不予退还：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  <w:bCs/>
          <w:szCs w:val="21"/>
          <w:shd w:val="clear" w:color="auto" w:fill="FFFFFF"/>
        </w:rPr>
        <w:t>（1）拒绝履行合同义务的；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  <w:bCs/>
          <w:szCs w:val="21"/>
          <w:shd w:val="clear" w:color="auto" w:fill="FFFFFF"/>
        </w:rPr>
        <w:t>（2）中标人因自身经营原因，无法继续履行合同，要求中止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  <w:shd w:val="clear" w:color="auto" w:fill="FFFFFF"/>
        </w:rPr>
      </w:pPr>
      <w:r>
        <w:rPr>
          <w:rFonts w:hint="eastAsia" w:ascii="宋体" w:hAnsi="宋体" w:cs="宋体"/>
          <w:bCs/>
          <w:szCs w:val="21"/>
          <w:shd w:val="clear" w:color="auto" w:fill="FFFFFF"/>
        </w:rPr>
        <w:t>（3）中标人因经营服务无法达到招标响应技术要求，招标人要求整改而无法达成的；或服务无法达到约定标准的将被强制中止合同。</w:t>
      </w:r>
    </w:p>
    <w:p>
      <w:pPr>
        <w:spacing w:line="240" w:lineRule="auto"/>
        <w:ind w:firstLine="482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spacing w:line="240" w:lineRule="auto"/>
        <w:ind w:firstLine="482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spacing w:line="240" w:lineRule="auto"/>
        <w:ind w:firstLine="482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spacing w:line="240" w:lineRule="auto"/>
        <w:ind w:firstLine="482"/>
        <w:jc w:val="left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附件1：报价单</w:t>
      </w:r>
    </w:p>
    <w:p>
      <w:pPr>
        <w:pStyle w:val="2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tbl>
      <w:tblPr>
        <w:tblStyle w:val="9"/>
        <w:tblW w:w="0" w:type="auto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65"/>
        <w:gridCol w:w="1148"/>
        <w:gridCol w:w="1985"/>
        <w:gridCol w:w="159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项目名称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服务期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服务地点</w:t>
            </w:r>
          </w:p>
        </w:tc>
        <w:tc>
          <w:tcPr>
            <w:tcW w:w="15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/>
                <w:b/>
                <w:szCs w:val="21"/>
              </w:rPr>
              <w:t>综合管理费（元）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智能快递柜投放</w:t>
            </w:r>
            <w:r>
              <w:rPr>
                <w:rFonts w:hint="eastAsia" w:ascii="宋体" w:hAnsi="宋体"/>
                <w:szCs w:val="21"/>
              </w:rPr>
              <w:t>服务管理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鹿城院区（学院路分部、南浦分部、龙湾院区（含康复中心）、瓯江口院区）</w:t>
            </w:r>
          </w:p>
        </w:tc>
        <w:tc>
          <w:tcPr>
            <w:tcW w:w="15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说明：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</w:rPr>
              <w:t>、共需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智能快递柜，单组快递柜不大于3㎡，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快递柜参考尺寸：长约6米，宽约0.5米，高约2.1米。报价人自行勘察现场，综合考虑报价。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其中暂定龙湾院区2组，鹿城院区2组，瓯江口1组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具体摆放位置</w:t>
            </w:r>
            <w:r>
              <w:rPr>
                <w:rFonts w:hint="eastAsia" w:ascii="宋体" w:hAnsi="宋体"/>
                <w:szCs w:val="21"/>
              </w:rPr>
              <w:t>根据实际情况且经采购方审批同意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后放置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后续若有新增数量，经采购方同意后按协议期内剩余天数先行支付年费，并签署补充协议）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2、中标人需向采购方支付综合管理费，合同签订生效之日起10个工作日内向甲方一次性支付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首年综合管理费</w:t>
            </w:r>
            <w:r>
              <w:rPr>
                <w:rFonts w:hint="eastAsia" w:ascii="宋体" w:hAnsi="宋体"/>
                <w:szCs w:val="21"/>
              </w:rPr>
              <w:t>。年综合管理费底价为人民币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2050</w:t>
            </w: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  <w:lang w:val="en-US" w:eastAsia="zh-CN"/>
              </w:rPr>
              <w:t>即每组每年最低管理费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shd w:val="clear" w:color="auto" w:fill="FFFFFF"/>
                <w:lang w:val="en-US" w:eastAsia="zh-CN"/>
              </w:rPr>
              <w:t>410</w:t>
            </w:r>
            <w:r>
              <w:rPr>
                <w:rFonts w:hint="eastAsia" w:ascii="宋体" w:hAnsi="宋体" w:cs="宋体"/>
                <w:bCs/>
                <w:szCs w:val="21"/>
                <w:shd w:val="clear" w:color="auto" w:fill="FFFFFF"/>
                <w:lang w:val="en-US" w:eastAsia="zh-CN"/>
              </w:rPr>
              <w:t>元。</w:t>
            </w:r>
            <w:r>
              <w:rPr>
                <w:rFonts w:hint="eastAsia" w:ascii="宋体" w:hAnsi="宋体"/>
                <w:szCs w:val="21"/>
              </w:rPr>
              <w:t>之后的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管理费</w:t>
            </w:r>
            <w:r>
              <w:rPr>
                <w:rFonts w:hint="eastAsia" w:ascii="宋体" w:hAnsi="宋体"/>
                <w:szCs w:val="21"/>
              </w:rPr>
              <w:t>在新一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年服务期</w:t>
            </w:r>
            <w:r>
              <w:rPr>
                <w:rFonts w:hint="eastAsia" w:ascii="宋体" w:hAnsi="宋体"/>
                <w:szCs w:val="21"/>
              </w:rPr>
              <w:t>开始前的一个月内缴纳。</w:t>
            </w:r>
          </w:p>
        </w:tc>
      </w:tr>
    </w:tbl>
    <w:p>
      <w:pPr>
        <w:pStyle w:val="2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spacing w:line="240" w:lineRule="auto"/>
        <w:ind w:firstLine="482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spacing w:line="240" w:lineRule="auto"/>
        <w:ind w:firstLine="482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spacing w:line="240" w:lineRule="auto"/>
        <w:ind w:firstLine="482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NTAxZGUyM2E2ZjBjZGUyZWI1NDFlN2U2ODlmOGIifQ=="/>
  </w:docVars>
  <w:rsids>
    <w:rsidRoot w:val="622569D7"/>
    <w:rsid w:val="0A0A15C0"/>
    <w:rsid w:val="1A012F70"/>
    <w:rsid w:val="21057206"/>
    <w:rsid w:val="226B18BD"/>
    <w:rsid w:val="2A3001AF"/>
    <w:rsid w:val="2B0B0511"/>
    <w:rsid w:val="32D26423"/>
    <w:rsid w:val="3E3C71D4"/>
    <w:rsid w:val="3FE763B5"/>
    <w:rsid w:val="425B13B2"/>
    <w:rsid w:val="58AC16B1"/>
    <w:rsid w:val="619E4837"/>
    <w:rsid w:val="622569D7"/>
    <w:rsid w:val="63C51D1B"/>
    <w:rsid w:val="738C1B02"/>
    <w:rsid w:val="774413D1"/>
    <w:rsid w:val="7A027238"/>
    <w:rsid w:val="7B10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rFonts w:ascii="Arial" w:hAnsi="Arial" w:eastAsia="华文中宋"/>
      <w:b/>
      <w:color w:val="000000"/>
      <w:sz w:val="32"/>
    </w:rPr>
  </w:style>
  <w:style w:type="paragraph" w:styleId="4">
    <w:name w:val="heading 2"/>
    <w:basedOn w:val="1"/>
    <w:next w:val="1"/>
    <w:qFormat/>
    <w:uiPriority w:val="0"/>
    <w:pPr>
      <w:keepNext/>
      <w:keepLines/>
      <w:snapToGrid w:val="0"/>
      <w:spacing w:line="300" w:lineRule="auto"/>
      <w:ind w:firstLine="200" w:firstLineChars="200"/>
      <w:outlineLvl w:val="1"/>
    </w:pPr>
    <w:rPr>
      <w:rFonts w:ascii="Arial" w:hAnsi="Arial"/>
      <w:b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spacing w:line="300" w:lineRule="auto"/>
      <w:ind w:left="958" w:rightChars="-120"/>
      <w:jc w:val="left"/>
    </w:pPr>
    <w:rPr>
      <w:rFonts w:ascii="宋体" w:hAnsi="宋体"/>
      <w:sz w:val="28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Body Text"/>
    <w:basedOn w:val="1"/>
    <w:next w:val="1"/>
    <w:qFormat/>
    <w:uiPriority w:val="0"/>
    <w:pPr>
      <w:adjustRightInd w:val="0"/>
      <w:spacing w:line="315" w:lineRule="atLeast"/>
      <w:jc w:val="left"/>
      <w:textAlignment w:val="baseline"/>
    </w:pPr>
    <w:rPr>
      <w:rFonts w:ascii="仿宋_GB2312" w:eastAsia="仿宋_GB2312"/>
      <w:kern w:val="0"/>
      <w:sz w:val="28"/>
      <w:szCs w:val="20"/>
    </w:rPr>
  </w:style>
  <w:style w:type="paragraph" w:styleId="7">
    <w:name w:val="Body Text Indent 2"/>
    <w:basedOn w:val="1"/>
    <w:qFormat/>
    <w:uiPriority w:val="99"/>
    <w:pPr>
      <w:widowControl/>
      <w:spacing w:line="480" w:lineRule="atLeast"/>
      <w:ind w:firstLine="480"/>
    </w:pPr>
    <w:rPr>
      <w:rFonts w:ascii="宋体"/>
      <w:kern w:val="0"/>
      <w:sz w:val="24"/>
      <w:szCs w:val="20"/>
    </w:rPr>
  </w:style>
  <w:style w:type="paragraph" w:styleId="8">
    <w:name w:val="Body Text Indent 3"/>
    <w:basedOn w:val="1"/>
    <w:qFormat/>
    <w:uiPriority w:val="99"/>
    <w:pPr>
      <w:autoSpaceDE w:val="0"/>
      <w:autoSpaceDN w:val="0"/>
      <w:spacing w:line="400" w:lineRule="atLeast"/>
      <w:ind w:firstLine="443" w:firstLineChars="200"/>
      <w:textAlignment w:val="bottom"/>
    </w:pPr>
    <w:rPr>
      <w:rFonts w:eastAsia="黑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3837</Words>
  <Characters>3905</Characters>
  <Lines>0</Lines>
  <Paragraphs>0</Paragraphs>
  <TotalTime>3</TotalTime>
  <ScaleCrop>false</ScaleCrop>
  <LinksUpToDate>false</LinksUpToDate>
  <CharactersWithSpaces>4044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2022-09-05T03:27:00Z</dcterms:created>
  <dc:creator>one.</dc:creator>
  <cp:lastModifiedBy>郑听</cp:lastModifiedBy>
  <dcterms:modified xsi:type="dcterms:W3CDTF">2023-05-18T07:53:58Z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9DEA489470D941C68A8A89B10FF055E2_13</vt:lpwstr>
  </property>
</Properties>
</file>